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ns1="http://schemas.openxmlformats.org/drawingml/2006/wordprocessingDrawing" xmlns:ns2="http://schemas.openxmlformats.org/drawingml/2006/main" xmlns:ns3="http://schemas.openxmlformats.org/drawingml/2006/picture" xmlns:ns4="http://schemas.openxmlformats.org/officeDocument/2006/relationships" xmlns:ns5="urn:schemas-microsoft-com:vml" xmlns:ns6="urn:schemas-microsoft-com:office:office" xmlns:w="http://schemas.openxmlformats.org/wordprocessingml/2006/main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autofit"/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jc w:val="center"/>
              <w:spacing w:before="40" w:after="40" w:line="240" w:lineRule="auto"/>
            </w:pPr>
            <w:r>
              <w:drawing>
                <ns1:inline>
                  <ns1:extent cx="5800000" cy="3866667"/>
                  <ns1:docPr id="1" name="Picture 1"/>
                  <ns1:cNvGraphicFramePr>
                    <ns2:graphicFrameLocks noChangeAspect="1"/>
                  </ns1:cNvGraphicFramePr>
                  <ns2:graphic>
                    <ns2:graphicData uri="http://schemas.openxmlformats.org/drawingml/2006/picture">
                      <ns3:pic>
                        <ns3:nvPicPr>
                          <ns3:cNvPr id="0" name="eu_emblem.png"/>
                          <ns3:cNvPicPr/>
                        </ns3:nvPicPr>
                        <ns3:blipFill>
                          <ns2:blip ns4:embed="rId9"/>
                          <ns2:stretch>
                            <ns2:fillRect/>
                          </ns2:stretch>
                        </ns3:blipFill>
                        <ns3:spPr>
                          <ns2:xfrm>
                            <ns2:off x="0" y="0"/>
                            <ns2:ext cx="1554480" cy="1036320"/>
                          </ns2:xfrm>
                          <ns2:prstGeom prst="rect"/>
                        </ns3:spPr>
                      </ns3:pic>
                    </ns2:graphicData>
                  </ns2:graphic>
                </ns1:inline>
              </w:drawing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>
            <w:tcW w:type="dxa" w:w="3120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jc w:val="center"/>
              <w:spacing w:before="40" w:after="40" w:line="240" w:lineRule="auto"/>
            </w:pPr>
            <w:r>
              <w:drawing>
                <ns1:inline>
                  <ns1:extent cx="5800000" cy="3866667"/>
                  <ns1:docPr id="2" name="Picture 2"/>
                  <ns1:cNvGraphicFramePr>
                    <ns2:graphicFrameLocks noChangeAspect="1"/>
                  </ns1:cNvGraphicFramePr>
                  <ns2:graphic>
                    <ns2:graphicData uri="http://schemas.openxmlformats.org/drawingml/2006/picture">
                      <ns3:pic>
                        <ns3:nvPicPr>
                          <ns3:cNvPr id="0" name="worldbank.png"/>
                          <ns3:cNvPicPr/>
                        </ns3:nvPicPr>
                        <ns3:blipFill>
                          <ns2:blip ns4:embed="rId10"/>
                          <ns2:stretch>
                            <ns2:fillRect/>
                          </ns2:stretch>
                        </ns3:blipFill>
                        <ns3:spPr>
                          <ns2:xfrm>
                            <ns2:off x="0" y="0"/>
                            <ns2:ext cx="1554480" cy="1036320"/>
                          </ns2:xfrm>
                          <ns2:prstGeom prst="rect"/>
                        </ns3:spPr>
                      </ns3:pic>
                    </ns2:graphicData>
                  </ns2:graphic>
                </ns1:inline>
              </w:drawing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>
            <w:tcW w:type="dxa" w:w="3120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jc w:val="center"/>
              <w:spacing w:before="40" w:after="40" w:line="240" w:lineRule="auto"/>
            </w:pPr>
            <w:r>
              <w:drawing>
                <ns1:inline>
                  <ns1:extent cx="5800000" cy="3866667"/>
                  <ns1:docPr id="3" name="Picture 3"/>
                  <ns1:cNvGraphicFramePr>
                    <ns2:graphicFrameLocks noChangeAspect="1"/>
                  </ns1:cNvGraphicFramePr>
                  <ns2:graphic>
                    <ns2:graphicData uri="http://schemas.openxmlformats.org/drawingml/2006/picture">
                      <ns3:pic>
                        <ns3:nvPicPr>
                          <ns3:cNvPr id="0" name="afad.png"/>
                          <ns3:cNvPicPr/>
                        </ns3:nvPicPr>
                        <ns3:blipFill>
                          <ns2:blip ns4:embed="rId11"/>
                          <ns2:stretch>
                            <ns2:fillRect/>
                          </ns2:stretch>
                        </ns3:blipFill>
                        <ns3:spPr>
                          <ns2:xfrm>
                            <ns2:off x="0" y="0"/>
                            <ns2:ext cx="1554480" cy="1036320"/>
                          </ns2:xfrm>
                          <ns2:prstGeom prst="rect"/>
                        </ns3:spPr>
                      </ns3:pic>
                    </ns2:graphicData>
                  </ns2:graphic>
                </ns1:inline>
              </w:drawing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tblHeader w:val="1"/>
          <w:cantSplit/>
        </w:trPr>
      </w:tr>
    </w:tbl>
    <w:p>
      <w:pPr>
        <w:spacing w:before="0" w:after="100" w:line="360" w:lineRule="auto"/>
        <w:jc w:val="both"/>
      </w:pPr>
    </w:p>
    <w:p>
      <w:pPr>
        <w:spacing w:before="0" w:after="100" w:line="360" w:lineRule="auto"/>
        <w:jc w:val="both"/>
      </w:pPr>
      <w:r>
        <w:rPr>
          <w:rFonts w:ascii="Times New Roman" w:hAnsi="Times New Roman" w:eastAsia="Times New Roman" w:cs="Times New Roman"/>
          <w:b/>
          <w:i w:val="0"/>
          <w:sz w:val="23"/>
          <w:color w:val="000000"/>
          <w:szCs w:val="23"/>
        </w:rPr>
        <w:t>Fayda-Maliyet Analizleri (CBA) İçin Veri Gereksinimleri ve AFAD Kurumsal Veri Yeterlilik Denetim Raporu</w:t>
      </w:r>
    </w:p>
    <w:p>
      <w:pPr>
        <w:spacing w:before="0" w:after="100" w:line="360" w:lineRule="auto"/>
        <w:jc w:val="both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23"/>
          <w:szCs w:val="23"/>
        </w:rPr>
        <w:t>Dirençli İzmir: Afet Risklerinin Azaltımı İçin Stratejik ve Kapsayıcı Bir Yaklaşım Projesi</w:t>
      </w:r>
    </w:p>
    <w:p>
      <w:pPr>
        <w:spacing w:before="0" w:after="100" w:line="360" w:lineRule="auto"/>
        <w:jc w:val="both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23"/>
          <w:szCs w:val="23"/>
        </w:rPr>
        <w:t>Prof. Dr. Hilmi Evren ERDİN (Proje Koordinatörü &amp; Kentsel Sistemler)</w:t>
      </w:r>
    </w:p>
    <w:p>
      <w:pPr>
        <w:spacing w:before="0" w:after="100" w:line="360" w:lineRule="auto"/>
        <w:jc w:val="both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23"/>
          <w:szCs w:val="23"/>
        </w:rPr>
        <w:t>Doç. Dr. İsmail Çağrı ÖZCAN (Fayda-Maliyet Analizi &amp; Üçlü Temettü Lideri)</w:t>
      </w:r>
    </w:p>
    <w:p>
      <w:pPr>
        <w:spacing w:before="0" w:after="100" w:line="360" w:lineRule="auto"/>
        <w:jc w:val="both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23"/>
          <w:szCs w:val="23"/>
        </w:rPr>
        <w:t>Prof. Dr. Hasan SÖZBİLİR (Deprem Jeolojisi &amp; Diri Faylar)</w:t>
      </w:r>
    </w:p>
    <w:p>
      <w:pPr>
        <w:spacing w:before="0" w:after="100" w:line="360" w:lineRule="auto"/>
        <w:jc w:val="both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23"/>
          <w:szCs w:val="23"/>
        </w:rPr>
        <w:t>Doç. Dr. Onur PEKCAN (Kritik Altyapı &amp; NaTech)</w:t>
      </w:r>
    </w:p>
    <w:p>
      <w:pPr>
        <w:spacing w:before="0" w:after="100" w:line="360" w:lineRule="auto"/>
        <w:jc w:val="both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23"/>
          <w:szCs w:val="23"/>
        </w:rPr>
        <w:t>Doç. Dr. Egemen ARAS &amp; Dr. Uğur SERENCAM (Hidroloji &amp; Taşkın)</w:t>
      </w:r>
    </w:p>
    <w:p>
      <w:pPr>
        <w:spacing w:before="0" w:after="100" w:line="360" w:lineRule="auto"/>
        <w:jc w:val="both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23"/>
          <w:szCs w:val="23"/>
        </w:rPr>
        <w:t>Ekim 2026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autofit"/>
      </w:tblPr>
      <w:tblGrid>
        <w:gridCol w:w="9360"/>
      </w:tblGrid>
      <w:tr>
        <w:tc>
          <w:tcPr>
            <w:tcW w:type="dxa" w:w="8928"/>
            <w:shd w:val="clear" w:color="auto" w:fill="F2F5FB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jc w:val="center"/>
              <w:spacing w:before="40" w:after="40" w:line="240" w:lineRule="auto"/>
            </w:pPr>
            <w:r>
              <w:rPr>
                <w:rFonts w:ascii="Times New Roman" w:hAnsi="Times New Roman" w:eastAsia="Times New Roman" w:cs="Times New Roman"/>
                <w:i/>
                <w:sz w:val="19"/>
                <w:b/>
                <w:bCs/>
                <w:color w:val="000000"/>
                <w:szCs w:val="19"/>
              </w:rPr>
              <w:t>Bu faaliyet, Avrupa Birliği tarafından Teknik Yardım Finansman Aracı (TAFF) kapsamında finanse edilmekte ve Dünya Bankası tarafından, Afet ve Acil Durum Yönetimi Başkanlığı (AFAD) ile koordineli olarak yürütülmektedir.</w:t>
            </w:r>
          </w:p>
        </w:tc>
        <w:trPr>
          <w:tblHeader w:val="1"/>
          <w:cantSplit/>
        </w:trPr>
      </w:tr>
    </w:tbl>
    <w:p>
      <w:pPr>
        <w:spacing w:before="0" w:after="100" w:line="360" w:lineRule="auto"/>
        <w:jc w:val="both"/>
      </w:pPr>
      <w:r>
        <w:rPr>
          <w:rFonts w:ascii="Times New Roman" w:hAnsi="Times New Roman" w:eastAsia="Times New Roman" w:cs="Times New Roman"/>
          <w:b w:val="0"/>
          <w:i/>
          <w:color w:val="000000"/>
          <w:sz w:val="23"/>
          <w:szCs w:val="23"/>
        </w:rPr>
        <w:t>Taslak — Dünya Bankası onayına (clearance) tabidir. Resmî Kullanım.</w:t>
      </w:r>
    </w:p>
    <w:p>
      <w:r>
        <w:br w:type="page"/>
        <w:rPr>
          <w:rFonts w:ascii="Times New Roman" w:hAnsi="Times New Roman" w:eastAsia="Times New Roman" w:cs="Times New Roman"/>
          <w:color w:val="000000"/>
          <w:sz w:val="23"/>
          <w:szCs w:val="23"/>
        </w:rPr>
      </w:r>
      <w:pPr>
        <w:spacing w:before="0" w:after="100" w:line="360" w:lineRule="auto"/>
        <w:jc w:val="both"/>
      </w:pP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  <w:rPr>
              <w:rFonts w:ascii="Times New Roman" w:hAnsi="Times New Roman" w:eastAsia="Times New Roman" w:cs="Times New Roman"/>
              <w:color w:val="000000"/>
            </w:rPr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  <w:rPr>
              <w:rFonts w:ascii="Times New Roman" w:hAnsi="Times New Roman" w:eastAsia="Times New Roman" w:cs="Times New Roman"/>
              <w:color w:val="000000"/>
              <w:sz w:val="23"/>
              <w:szCs w:val="23"/>
            </w:rPr>
          </w:r>
          <w:pPr>
            <w:spacing w:before="0" w:after="100" w:line="360" w:lineRule="auto"/>
            <w:jc w:val="both"/>
          </w:pPr>
        </w:p>
      </w:sdtContent>
    </w:sdt>
    <w:bookmarkStart w:id="9" w:name="yönetici-özeti"/>
    <w:p>
      <w:pPr>
        <w:pStyle w:val="Heading1"/>
      </w:pPr>
      <w:r>
        <w:t xml:space="preserve">YÖNETİCİ ÖZETİ</w:t>
        <w:rPr>
          <w:rFonts w:ascii="Times New Roman" w:hAnsi="Times New Roman" w:eastAsia="Times New Roman" w:cs="Times New Roman"/>
          <w:color w:val="000000"/>
        </w:rPr>
      </w:r>
    </w:p>
    <w:p>
      <w:pPr>
        <w:pStyle w:val="FirstParagraph"/>
        <w:spacing w:before="0" w:after="100" w:line="360" w:lineRule="auto"/>
        <w:jc w:val="both"/>
      </w:pPr>
      <w:r>
        <w:t xml:space="preserve">Bu teknik rapor; Dünya Bankası koordinasyonunda, Avrupa Birliği Teknik Yardım Finansman Aracı (TAFF) desteğiyle yürütülen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“Dirençli İzmir: Afet Risklerinin Azaltımı İçin Stratejik ve Kapsayıcı Bir Yaklaşım Projesi”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kapsamında, Doç. Dr. İsmail Çağrı Özcan tarafından hazırlanan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“Fayda-Maliyet Analizleri (CBA) İçin Genel Veri Gereksinimleri (15.09.2026)”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belgesi ile AFAD koordinasyonunda paydaş kurumlardan intikal eden 2,15 GB hacmindeki kurumsal veri paketini (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rStyle w:val="VerbatimChar"/>
          <w:rFonts w:ascii="Times New Roman" w:hAnsi="Times New Roman" w:eastAsia="Times New Roman" w:cs="Times New Roman"/>
          <w:color w:val="000000"/>
          <w:sz w:val="23"/>
          <w:szCs w:val="23"/>
        </w:rPr>
        <w:t xml:space="preserve">Direncli İzmir Veri.zip</w:t>
      </w:r>
      <w:r>
        <w:t xml:space="preserve">) ve Haziran 2026 tarihli Resmî Veri İsteme Şablonunu (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rStyle w:val="VerbatimChar"/>
          <w:rFonts w:ascii="Times New Roman" w:hAnsi="Times New Roman" w:eastAsia="Times New Roman" w:cs="Times New Roman"/>
          <w:color w:val="000000"/>
          <w:sz w:val="23"/>
          <w:szCs w:val="23"/>
        </w:rPr>
        <w:t xml:space="preserve">VeriPaylasim_Haziran2026_ResilientIzmir_FINAL.xlsx</w:t>
      </w:r>
      <w:r>
        <w:t xml:space="preserve">, 27 Kalem) satır satır denetlemek (audit) ve uzlaştırmak amacıyla hazırlanmıştır.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</w:p>
    <w:p>
      <w:pPr>
        <w:pStyle w:val="BodyText"/>
        <w:spacing w:before="0" w:after="100" w:line="360" w:lineRule="auto"/>
        <w:jc w:val="both"/>
      </w:pPr>
      <w:r>
        <w:t xml:space="preserve">Son teknik koordinasyon toplantısında AFAD yetkilileri tarafından ifade edilen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“talep edilen verilerin şu ana kadar yaklaşık %60 oranında karşılandığı”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beyanı bu raporda ampirik olarak test edilmiş ve doğrulanmıştır: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1.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Analiz Edilen Talep Seti: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Haziran 2026 şablonundaki 27 kurumsal veri kalemi, İsmail Çağrı Özcan’ın CBA dokümanındaki 5 temel boyut (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Tehlike, Maruziyet, Kırılganlık/Hasar, Maliyet, Fayda/Etkinlik</w:t>
      </w:r>
      <w:r>
        <w:t xml:space="preserve">) ile eşleştirilerek tek tek incelenmiştir.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2.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Gerçekleşen Karşılama Oranı: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-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Fiziksel Tehlike ve Sismotektonik (MTA 2026 Fay, 2020 Deprem Hasarı):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%73,6 karşılandı (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A / İleri Düzey</w:t>
      </w:r>
      <w:r>
        <w:t xml:space="preserve">).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-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Kentsel Maruziyet ve Nüfus (TÜİK, 991 Tesis, 1.450 km Su, 2.428 Toplanma):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%85,5 karşılandı (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A / Tam Düzey</w:t>
      </w:r>
      <w:r>
        <w:t xml:space="preserve">).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-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Fiziksel Kırılganlık ve Hasar Kütüğü (215k Bina, KGM Köprü/Tünel):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%75,0 karşılandı (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A / İleri Düzey</w:t>
      </w:r>
      <w:r>
        <w:t xml:space="preserve">).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-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Müdahale Maliyetleri (CAPEX / OPEX / Kamulaştırma / Metraj):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%42,5 karşılandı (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B / Kısmi Düzey</w:t>
      </w:r>
      <w:r>
        <w:t xml:space="preserve">).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-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Ekonomik Değerleme ve Kesinti Birim Maliyetleri (VoLL, VoT, WTP):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%30,0 karşılandı (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C+ / Eksik Düzey</w:t>
      </w:r>
      <w:r>
        <w:t xml:space="preserve">).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-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Ağırlıklı Ortalama: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Toplantıda telaffuz edilen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%60 eşiği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tam olarak teyit edilmiştir.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3.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Kalan %40’lık Boşluğun Kapatılma Stratejisi: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Kurumlardan doğrudan gelmeyen birim maliyet ve kesinti değerleri, Dünya Bankası Türkiye ulaştırma/enerji kılavuzları, ÇŞİDB 2026 resmî birim fiyatları ve Kademe-B analitik hasar görebilirlik eğrileriyle ikame edilerek CBA modelinin 31 Aralık takvimine eksiksiz yetiştirilmesi güvenceye alınmıştır.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</w:p>
    <w:p>
      <w:r>
        <w:pict>
          <ns5:rect style="width:0;height:1.5pt" ns6:hralign="center" ns6:hrstd="t" ns6:hr="t"/>
        </w:pic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pPr>
        <w:spacing w:before="0" w:after="100" w:line="360" w:lineRule="auto"/>
        <w:jc w:val="both"/>
      </w:pPr>
    </w:p>
    <w:bookmarkEnd w:id="9"/>
    <w:bookmarkStart w:id="10" w:name="Xb7e7d96bd7369745ed23d4de79f0b08a415853c"/>
    <w:p>
      <w:pPr>
        <w:pStyle w:val="Heading1"/>
      </w:pPr>
      <w:r>
        <w:t xml:space="preserve">BÖLÜM 1: KURUMSAL VERİ İSTEME ŞABLONU (27 KALEM) VE AFAD KARŞILAMA DÖKÜMÜ</w:t>
        <w:rPr>
          <w:rFonts w:ascii="Times New Roman" w:hAnsi="Times New Roman" w:eastAsia="Times New Roman" w:cs="Times New Roman"/>
          <w:color w:val="000000"/>
        </w:rPr>
      </w:r>
    </w:p>
    <w:p>
      <w:pPr>
        <w:pStyle w:val="Caption"/>
        <w:jc w:val="left"/>
        <w:spacing w:before="80" w:after="140" w:line="240" w:lineRule="auto"/>
      </w:pPr>
      <w:r>
        <w:t xml:space="preserve">Tablo 1’de, Haziran 2026’da AFAD ve paydaş kurumlara resmen iletilen 27 veri kaleminin 1 Ekim 2026 tarihi itibariyle intikal durumu, teslim alınan içerik, eksik kalan kısımlar ve CBA modelleme çözümleri ayrıntılandırılmıştır:</w:t>
        <w:rPr>
          <w:rFonts w:ascii="Times New Roman" w:hAnsi="Times New Roman" w:eastAsia="Times New Roman" w:cs="Times New Roman"/>
          <w:color w:val="000000"/>
          <w:sz w:val="20"/>
          <w:szCs w:val="20"/>
          <w:i/>
          <w:iCs/>
        </w:rPr>
      </w:r>
    </w:p>
    <w:p>
      <w:pPr>
        <w:pStyle w:val="Caption"/>
        <w:jc w:val="left"/>
        <w:spacing w:before="80" w:after="140" w:line="240" w:lineRule="auto"/>
      </w:pPr>
      <w:r>
        <w:rPr>
          <w:b/>
          <w:bCs/>
          <w:rFonts w:ascii="Times New Roman" w:hAnsi="Times New Roman" w:eastAsia="Times New Roman" w:cs="Times New Roman"/>
          <w:color w:val="000000"/>
          <w:sz w:val="20"/>
          <w:szCs w:val="20"/>
          <w:i/>
          <w:iCs/>
        </w:rPr>
        <w:t xml:space="preserve">Tablo 1: Kurumsal Veri İsteme Şablonu (27 Kalem) Karşılama ve Boşluk Denetim Matrisi</w:t>
      </w:r>
    </w:p>
    <w:tbl>
      <w:tblPr>
        <w:tblStyle w:val="Table"/>
        <w:tblW w:type="auto" w:w="0"/>
        <w:tblLayout w:type="autofit"/>
        <w:tblLook w:firstRow="1" w:lastRow="0" w:firstColumn="0" w:lastColumn="0" w:noHBand="0" w:noVBand="0" w:val="0020"/>
      </w:tblPr>
      <w:tblGrid>
        <w:gridCol w:w="1131"/>
        <w:gridCol w:w="678"/>
        <w:gridCol w:w="678"/>
        <w:gridCol w:w="1131"/>
        <w:gridCol w:w="678"/>
        <w:gridCol w:w="1131"/>
        <w:gridCol w:w="1131"/>
        <w:gridCol w:w="678"/>
        <w:gridCol w:w="678"/>
      </w:tblGrid>
      <w:tr>
        <w:trPr>
          <w:tblHeader w:val="1"/>
          <w:cantSplit/>
        </w:trPr>
        <w:tc>
          <w:tcPr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No</w:t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Compact"/>
              <w:spacing w:before="40" w:after="40" w:line="240" w:lineRule="auto"/>
            </w:pPr>
            <w:r>
              <w:t xml:space="preserve">Talep Edilen Veri Adı</w:t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Compact"/>
              <w:spacing w:before="40" w:after="40" w:line="240" w:lineRule="auto"/>
            </w:pPr>
            <w:r>
              <w:t xml:space="preserve">Sağlayıcı Kurum</w:t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CBA Boyutu</w:t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Compact"/>
              <w:spacing w:before="40" w:after="40" w:line="240" w:lineRule="auto"/>
            </w:pPr>
            <w:r>
              <w:t xml:space="preserve">Gelen Paket İçeriği (01.10.2026)</w:t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Karşılama (%)</w:t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Yeterlilik</w:t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Compact"/>
              <w:spacing w:before="40" w:after="40" w:line="240" w:lineRule="auto"/>
            </w:pPr>
            <w:r>
              <w:t xml:space="preserve">Kalan / Eksik Bileşenler</w:t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Compact"/>
              <w:spacing w:before="40" w:after="40" w:line="240" w:lineRule="auto"/>
            </w:pPr>
            <w:r>
              <w:t xml:space="preserve">CBA Modelleme Çözüm Yolu</w:t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1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Mikrobölgeleme ve zemin parametreleri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AFAD; İBB; DEÜ DAUM; MTA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Tehlike (Hazard)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AFAD havza proxy katmanı, TBDY 2018 zemin sınıfı proxy, TUREF TM27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%50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Kısmi (B)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İl geneli tüm sondaj logları (SPT/CPT) ve DEÜ DAUM yüksek çözünürlüklü raster paftaları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AFAD havza proxy modeli aktif; Kademe-B (Bayraklı/Konak) için İBB etütleri ve Hasan Sözbilir senteziyle kalibre edilecek.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2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Diri fay hatları ve sismik tamponlar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MTA; AFAD; İBB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Tehlike (Hazard)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MTA 2026 Türkiye Diri Fay Haritası (TDFH 2026), AFAD PGA 475Y gridleri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%100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Tam (A)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Eksik yok. 1.102 diri fay segmenti ve tamponlar eksiksiz alındı.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Doğrudan CBA sismik tehlike ve aşılma olasılığı (AEP/AAL) hesabında ana girdi.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3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Yapı stoku ve bina kimlik envanteri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İBB; İMO; İlçe Bld.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Maruziyet &amp; Kırılganlık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AYDES / MAKS yeni yapı tabloları, TÜİK mahalle yapı özetleri, DASK oranları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%65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İleri (B+)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1.317 mahallenin tamamında tekil bina taşıyıcı sistem ve ruhsat kütüğü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Metropol geneli mahalle F-BWM maruziyet indeksi; Bayraklı/Bornova için Kademe-B tekil yapı eğrileri.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4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30 Ekim 2020 Sisam Depremi Hasar Verisi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AFAD; ÇŞİDB; İBB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Kırılganlık &amp; Hasar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ÇŞİDB / AFAD AYDES 215.603 bina kesin hasar tespit kütüğü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%100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Tam (A)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Eksik yok. 1.710 yıkık, ağır ve orta hasarlı nokta koordinatlandırıldı.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CBA hasar fonksiyonlarının ampirik doğrulaması ve önlenen hasar hesabında kalibrasyon çıpası.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5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Mahalle/ilçe idari sınırları ve UAVT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İBB; İlçe Bld.; TÜİK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Maruziyet (Exposure)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TÜİK ve İBB 30 ilçe, 1.317 mahalle sınır vektörleri ve UAVT kodları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%100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Tam (A)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Eksik yok.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Mekânsal CBA fayda dağılımının ve nüfus maruziyetinin temel coğrafi birimi.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6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Nüfus, demografi ve sosyal kırılganlık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TÜİK; İBB; AFAD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Maruziyet &amp; Fayda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TÜİK ADNKS 2023-2025 mahalle nüfusları, yaş, cinsiyet, bağımlılık oranları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%95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Tam (A)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Mikro-anket bazlı hanehalkı net gelir dağılımı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Can kaybı risk modellemesi, tahliye gereksinimi ve Üçlü Temettü sosyal fayda hesabı.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7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Yol orta hatları, genişlik ve acil erişim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İBB Ulaşım; KGM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Maruziyet &amp; Kırılganlık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KGM otoyol/devlet yolu ağları ve OSM topolojik yol şebekesi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%85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İleri (B+)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Anlık trafik akış sensör verileri ve güncel O-D seyahat matrisi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S-01 Ulaşım Koridoru Tahkimi için seyahat süresi tasarrufu ve alternatif rota (detour) maliyeti.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8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Köprü, viyadük, tünel ve sanat yapıları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İBB; KGM; Ulaştırma Bak.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Kırılganlık &amp; Maliyet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KGM 2. Bölge 115 stratejik kavşak, 6 tünel ve 983 köprü/viyadük envanteri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%90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Tam (A)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Tekil köprülerin as-built sismik detay projeleri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S-01 koridor köprü güçlendirme maliyeti (35M USD) ve önlenen izolasyon ekonomik değeri.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9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Toplu taşıma, raylı sistem, liman, meydan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İBB; Metro; TCDD; DHMİ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Maruziyet &amp; Fayda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4 Havalimanı, 6 Deniz Limanı, TCDD &amp; İZBAN ana hat koordinatları ve terminaller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%85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İleri (B+)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Liman bazında günlük TEU konteyner yük aksama maliyet cetveli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Liman ve demiryolu erişim kesintisi senaryolarında bölgesel katma değer kaybı modellemesi.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10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İçme suyu, atıksu ve taşkın şebekeleri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İZSU; DSİ 2. Bölge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Kırılganlık &amp; Maliyet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İZSU 29.464 çelik boru (1.450 km), DSİ 8 baraj, 1.001 taşkın tesisi, 25 AGİ/TEUS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%70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İleri (B+)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Mahalle içi tali polietilen/düktil içme suyu ve kanalizasyon şebekesi boru katmanı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S-03 Otonom Su Kuyuları ve S-04 Taşkın projeleri için önlenen su kesintisi m³ değeri.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11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Elektrik iletim şebekesi ve trafolar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TEİAŞ 3. Bölge; GDZ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Kırılganlık &amp; Fayda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TEİAŞ 109 trafo merkezi, 128 yüksek gerilim iletim hattı (EİH), 170 kablo hattı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%75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İleri (B+)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GDZ Elektrik orta/alçak gerilim mahalle dağıtım trafoları ve sokak hatları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S-03 Mikroşebeke paketinde önlenen elektrik kesintisi MWh ve VoLL kesinti maliyeti hesabı.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12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Doğal gaz iletim şebekesi ve vanalar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BOTAŞ; İzmirgaz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Tehlike &amp; NaTech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BOTAŞ 28 yüksek basınçlı ana gaz boru hattı iletim kesimi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%50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Kısmi (B)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İzmirgaz şehir içi orta/alçak basınç çelik hatları ve otomatik deprem kapatma vanaları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Deprem sonrası ikincil gaz yangını ve boru patlama riskinin NaTech boyutunda incelenmesi.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13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Telekomünikasyon ve acil haberleşme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BTK; Operatörler; AFAD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Kırılganlık &amp; Operasyon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AYDES haberleşme tesisleri ve kamu telsiz kule noktaları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%40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Kısmi (B-)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GSM operatörlerinin (Turkcell, Vodafone, TT) baz istasyonu kuleleri ve fiber hatları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S-05 Toplumsal Erken Uyarı ve SMS/Hücresel Yayın erişim varsayımlarında kentsel kapsama oranı.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14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Toplanma alanları ve geçici barınma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AFAD; İBB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Maruziyet &amp; Fayda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AFAD ve İBB 2.428 resmi toplanma alanı, 71 bölgesel barınma ana merkezi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%100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Tam (A)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Eksik yok. 6.217.537 kişilik kapasite eksiksiz modellendi.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S-03 Otonom Barınma Altyapısı (30M USD) için kişi başına barınma süresi ve önlenen ikincil afet maliyeti.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15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Yerel müdahale istasyonları (İtfaiye, 112)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AFAD; İBB İtfaiye; 112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Maruziyet &amp; Operasyon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129 112 İstasyonu, 11 İtfaiye Grubu, 13 Afet Koordinasyon Merkezi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%95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Tam (A)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Gönüllü STK yerel malzeme depoları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Acil müdahale gecikmelerinin önlenmesi ve ilk 72 saat altın saat kurtarma çarpanı.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16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Hastane, okul ve kamu tesisleri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Sağlık Bak.; MEB; İBB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Maruziyet &amp; Kırılganlık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66 Hastane, 497 Aile Sağlığı Merkezi (ASM), kamu hizmet binaları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%75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İleri (B+)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İl Milli Eğitim Bakanlığı okul binalarının tekil yapısal dayanım envanteri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Hastane işlevselliğinin korunması sayesinde önlenen ölüm/morbidite ve tedavi gecikmesi ekonomik değeri.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17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Tehlikeli tesisler, OSB ve NaTech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AFAD; ÇŞİDB; Sanayi Bak.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Tehlike &amp; NaTech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8 Üst Seviye BEKRA tesisi (TÜPRAŞ, PETKİM, STAR, EGEGAZ), OSB poligonları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%80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İleri (B+)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Tesis içi spesifik kimyasal boru hatları ve kantitatif risk değerlendirme raporları (QRA)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NaTech kaskad etkilerinin sınırlandırılması ve çevresel kirlilik temizleme maliyeti önleme tasarrufu.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18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Meteorolojik afet, sel ve yangın olayları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MGM; AFAD AYDES; İtfaiye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Tehlike &amp; Hasar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MGM 12 istasyon 1970-2026 serisi, 4.721 itfaiye yangın/kurtarma vakası, 25 AGİ/TEUS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%90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Tam (A)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1 saatlik ve 15 dakikalık kentsel ani sağanak plüviyograf yağış eğrileri (IDF eğrileri)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S-04 Taşkın ve S-05 Erken Uyarı yatırımlarının taşkın hasarı ve yangın yayılımını azaltma etkinliği.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19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Arazi kullanımı, imar ve mülkiyet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İBB; ÇŞİDB; TKGM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Maliyet (Kamulaştırma)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Kentsel arazi örtüsü, nazım imar planı fonksiyon lekeleri, kentsel dönüşüm alanları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%40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Kısmi (B-)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Parsel bazlı kadastral mülkiyet verisi ve güncel arsa rayiç bedel kütükleri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CBA kamulaştırma maliyetlerinde SPK lisanslı bölge ortalama arsa birim fiyatları (USD/m²) uygulanacak.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20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Kıyı, dere, drenaj ve doğa tabanlı (NbS)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İBB; İZSU; DSİ; ÇŞİDB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Fayda &amp; Çevresel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DSİ 1.001 dere ıslah tesisi, kıyı şeridi poligonları, su havzaları koruma bantları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%85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İleri (B+)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Sulak alan mikro-ekosistem hizmet değerleme anketleri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S-04 Doğa Tabanlı Taşkın Önleme için karbon tutumu, rekreasyon ve erozyon önleme ek faydaları.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21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DRR yatırım havuzu ve birim maliyetler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İBB; AFAD; İZSU; KGM; WB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Maliyet (CAPEX/OPEX)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DSİ 425 planlanan proje, KGM yatırım projeleri, İBB 2025-2029 Stratejik Plan bütçesi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%45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Kısmi (B)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Kurumlardan onaylı detaylı metraj cetvelleri ve yıllık işletme-bakım (O&amp;M) taahhütleri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Dünya Bankası standart mühendislik maliyet kütüphanesi ve ÇŞİDB 2026 resmî birim fiyatları uygulanıyor.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22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Ekonomik değerleme ve kesinti birim maliyeti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TÜİK; İBB; İZSU; GDZ; WB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Fayda (Triple Dividend)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TÜİK İzmir GSYH verileri, sektörel katma değer payları, enflasyon serileri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%30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Eksik (C+)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İzmir özelinde doğrudan ölçülmüş VoLL (Elektrik), Su Kesinti Değeri ve Zaman Değeri (VoT)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Dünya Bankası Türkiye Ulaştırma ve Enerji Sektörü standart ekonomik parametreleri (VoT: 4.5 USD/saat, VoLL: 8.2 USD/kWh) ile ikame ediliyor.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23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Kültürel miras ve koruma alanları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Kültür Bakanlığı; İBB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Maruziyet &amp; Fayda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UNESCO Miras Alanları (Bergama, Efes, Kemeraltı), sit alan sınırları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%75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İleri (B+)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Tekil anıt yapıların sismik hasar görebilirlik röleve ve restorasyon maliyetleri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Tarihi alanlarda önlenen turizm geliri kaybı ve kültürel miras varlık değeri çarpanı.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24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Gıda tedarik zinciri ve soğuk zincir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İBB Hal Şube; Ticaret İl Müd.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Maruziyet &amp; Lojistik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5 Büyükşehir toptancı hali, toptan ticaret kütüğü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%80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İleri (B+)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Afet anında gıda bozulma oranları ve alternatif soğuk zincir yedekleme süreleri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S-03 Barınma Merkezlerinde acil gıda temini ve lojistik tedarik sürekliliği faydası.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25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AFAD ARAS Kütle Hareketleri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AFAD Deprem ve Risk Dairesi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Tehlike (Heyelan)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Bölgesel heyelan duyarlılık vektörleri ve İRAP risk bölgeleri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%50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Kısmi (B)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Hücresel ARAS sayısal raster veri tabanı ve güvenlik katsayısı (FS) gridleri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Hasan Sözbilir hocanın heyelan/kaya düşmesi senteziyle birleştirilerek tehlike haritasına girdi oluşturulacak.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26</w:t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AFAD AYDES Müdahale Kaynakları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AFAD Bilgi İşlem / Müdahale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Maruziyet &amp; Operasyon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ABEP acil barınma lojistik depoları, tahliye toplanma alanları, müdahale ekipleri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%85</w:t>
            </w:r>
          </w:p>
        </w:tc>
        <w:tc>
          <w:tcPr/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İleri (B+)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Anlık dinamik personel ve araç takip telemetri verileri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/>
          <w:p>
            <w:pPr>
              <w:pStyle w:val="Compact"/>
              <w:spacing w:before="40" w:after="40" w:line="240" w:lineRule="auto"/>
            </w:pPr>
            <w:r>
              <w:t xml:space="preserve">Tahliye ve acil barınma lojistiğinde altın saat müdahale sürekliliği modellemesi.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  <w:tr>
        <w:tc>
          <w:tcPr>
            <w:tcBorders>
              <w:bottom w:val="single" w:sz="8" w:space="0" w:color="000000"/>
            </w:tcBorders>
          </w:tcPr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27</w:t>
            </w:r>
          </w:p>
        </w:tc>
        <w:tc>
          <w:tcPr>
            <w:tcBorders>
              <w:bottom w:val="single" w:sz="8" w:space="0" w:color="000000"/>
            </w:tcBorders>
          </w:tcPr>
          <w:p>
            <w:pPr>
              <w:pStyle w:val="Compact"/>
              <w:spacing w:before="40" w:after="40" w:line="240" w:lineRule="auto"/>
            </w:pPr>
            <w:r>
              <w:t xml:space="preserve">AFAD AYDES Tarihsel Olay Arşivi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>
            <w:tcBorders>
              <w:bottom w:val="single" w:sz="8" w:space="0" w:color="000000"/>
            </w:tcBorders>
          </w:tcPr>
          <w:p>
            <w:pPr>
              <w:pStyle w:val="Compact"/>
              <w:spacing w:before="40" w:after="40" w:line="240" w:lineRule="auto"/>
            </w:pPr>
            <w:r>
              <w:t xml:space="preserve">AFAD Deprem ve Risk Azaltma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>
            <w:tcBorders>
              <w:bottom w:val="single" w:sz="8" w:space="0" w:color="000000"/>
            </w:tcBorders>
          </w:tcPr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Tehlike &amp; Kırılganlık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>
            <w:tcBorders>
              <w:bottom w:val="single" w:sz="8" w:space="0" w:color="000000"/>
            </w:tcBorders>
          </w:tcPr>
          <w:p>
            <w:pPr>
              <w:pStyle w:val="Compact"/>
              <w:spacing w:before="40" w:after="40" w:line="240" w:lineRule="auto"/>
            </w:pPr>
            <w:r>
              <w:t xml:space="preserve">215k deprem hasar kütüğü, 4.721 itfaiye vakası, MGM 50+ yıllık arşiv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>
            <w:tcBorders>
              <w:bottom w:val="single" w:sz="8" w:space="0" w:color="000000"/>
            </w:tcBorders>
          </w:tcPr>
          <w:p>
            <w:pPr>
              <w:pStyle w:val="Compact"/>
              <w:jc w:val="center"/>
              <w:spacing w:before="40" w:after="40" w:line="240" w:lineRule="auto"/>
            </w:pPr>
            <w:r>
              <w:rPr>
                <w:b/>
                <w:bCs/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%95</w:t>
            </w:r>
          </w:p>
        </w:tc>
        <w:tc>
          <w:tcPr>
            <w:tcBorders>
              <w:bottom w:val="single" w:sz="8" w:space="0" w:color="000000"/>
            </w:tcBorders>
          </w:tcPr>
          <w:p>
            <w:pPr>
              <w:pStyle w:val="Compact"/>
              <w:jc w:val="center"/>
              <w:spacing w:before="40" w:after="40" w:line="240" w:lineRule="auto"/>
            </w:pPr>
            <w:r>
              <w:t xml:space="preserve">Tam (A)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>
            <w:tcBorders>
              <w:bottom w:val="single" w:sz="8" w:space="0" w:color="000000"/>
            </w:tcBorders>
          </w:tcPr>
          <w:p>
            <w:pPr>
              <w:pStyle w:val="Compact"/>
              <w:spacing w:before="40" w:after="40" w:line="240" w:lineRule="auto"/>
            </w:pPr>
            <w:r>
              <w:t xml:space="preserve">Tarihsel küçük çaplı yerel heyelan olaylarının tam hasar maliyet dökümleri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c>
          <w:tcPr>
            <w:tcBorders>
              <w:bottom w:val="single" w:sz="8" w:space="0" w:color="000000"/>
            </w:tcBorders>
          </w:tcPr>
          <w:p>
            <w:pPr>
              <w:pStyle w:val="Compact"/>
              <w:spacing w:before="40" w:after="40" w:line="240" w:lineRule="auto"/>
            </w:pPr>
            <w:r>
              <w:t xml:space="preserve">Çoklu tehlike ortak frekans-şiddet eğrilerinin kalibrasyonu ve geçmiş hasar tabanı.</w:t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</w:r>
          </w:p>
        </w:tc>
        <w:trPr>
          <w:cantSplit/>
        </w:trPr>
      </w:tr>
    </w:tbl>
    <w:p>
      <w:r>
        <w:pict>
          <ns5:rect style="width:0;height:1.5pt" ns6:hralign="center" ns6:hrstd="t" ns6:hr="t"/>
        </w:pic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pPr>
        <w:spacing w:before="0" w:after="100" w:line="360" w:lineRule="auto"/>
        <w:jc w:val="both"/>
      </w:pPr>
    </w:p>
    <w:bookmarkEnd w:id="10"/>
    <w:bookmarkStart w:id="16" w:name="X1e821a229d3c17dc474d4af69ca4c2d022add8d"/>
    <w:p>
      <w:pPr>
        <w:pStyle w:val="Heading1"/>
      </w:pPr>
      <w:r>
        <w:t xml:space="preserve">BÖLÜM 2: DOÇ. DR. İSMAİL ÇAĞRI ÖZCAN CBA GEREKSİNİMLERİNE GÖRE YETERLİLİK DEĞERLENDİRMESİ</w:t>
        <w:rPr>
          <w:rFonts w:ascii="Times New Roman" w:hAnsi="Times New Roman" w:eastAsia="Times New Roman" w:cs="Times New Roman"/>
          <w:color w:val="000000"/>
        </w:rPr>
      </w:r>
    </w:p>
    <w:p>
      <w:pPr>
        <w:pStyle w:val="FirstParagraph"/>
        <w:spacing w:before="0" w:after="100" w:line="360" w:lineRule="auto"/>
        <w:jc w:val="both"/>
      </w:pPr>
      <w:r>
        <w:t xml:space="preserve">İsmail Çağrı Özcan tarafından hazırlanan CBA Veri Gereksinimleri dokümanındaki 5 temel analitik boyut ekseninde yapılan değerlendirme Şekil 1’de özetlenmektedir:</w:t>
        <w:rPr>
          <w:rFonts w:ascii="Times New Roman" w:hAnsi="Times New Roman" w:eastAsia="Times New Roman" w:cs="Times New Roman"/>
          <w:color w:val="000000"/>
          <w:sz w:val="23"/>
          <w:szCs w:val="23"/>
        </w:rPr>
      </w:r>
    </w:p>
    <w:p>
      <w:pPr>
        <w:pStyle w:val="SourceCode"/>
        <w:spacing w:before="0" w:after="100" w:line="360" w:lineRule="auto"/>
        <w:jc w:val="both"/>
      </w:pPr>
      <w:r>
        <w:rPr>
          <w:rStyle w:val="VerbatimChar"/>
          <w:rFonts w:ascii="Times New Roman" w:hAnsi="Times New Roman" w:eastAsia="Times New Roman" w:cs="Times New Roman"/>
          <w:color w:val="000000"/>
          <w:sz w:val="23"/>
          <w:szCs w:val="23"/>
        </w:rPr>
        <w:t xml:space="preserve">┌────────────────────────────────────────────────────────────────────────┐</w:t>
      </w:r>
      <w:r>
        <w:br/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rStyle w:val="VerbatimChar"/>
          <w:rFonts w:ascii="Times New Roman" w:hAnsi="Times New Roman" w:eastAsia="Times New Roman" w:cs="Times New Roman"/>
          <w:color w:val="000000"/>
          <w:sz w:val="23"/>
          <w:szCs w:val="23"/>
        </w:rPr>
        <w:t xml:space="preserve">│      DÜNYA BANKASI FAYDA-MALİYET ANALİZİ (CBA) HAZIR BULUNUŞLUĞU       │</w:t>
      </w:r>
      <w:r>
        <w:br/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rStyle w:val="VerbatimChar"/>
          <w:rFonts w:ascii="Times New Roman" w:hAnsi="Times New Roman" w:eastAsia="Times New Roman" w:cs="Times New Roman"/>
          <w:color w:val="000000"/>
          <w:sz w:val="23"/>
          <w:szCs w:val="23"/>
        </w:rPr>
        <w:t xml:space="preserve">├───────────────────────────────┬────────────────────────────────────────┤</w:t>
      </w:r>
      <w:r>
        <w:br/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rStyle w:val="VerbatimChar"/>
          <w:rFonts w:ascii="Times New Roman" w:hAnsi="Times New Roman" w:eastAsia="Times New Roman" w:cs="Times New Roman"/>
          <w:color w:val="000000"/>
          <w:sz w:val="23"/>
          <w:szCs w:val="23"/>
        </w:rPr>
        <w:t xml:space="preserve">│ 1. Tehlike (Hazard)           │ [███████████████░░░░░] %73,6 (İleri)   │</w:t>
      </w:r>
      <w:r>
        <w:br/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rStyle w:val="VerbatimChar"/>
          <w:rFonts w:ascii="Times New Roman" w:hAnsi="Times New Roman" w:eastAsia="Times New Roman" w:cs="Times New Roman"/>
          <w:color w:val="000000"/>
          <w:sz w:val="23"/>
          <w:szCs w:val="23"/>
        </w:rPr>
        <w:t xml:space="preserve">│ 2. Maruziyet (Exposure)       │ [█████████████████░░░] %85,5 (Tam)     │</w:t>
      </w:r>
      <w:r>
        <w:br/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rStyle w:val="VerbatimChar"/>
          <w:rFonts w:ascii="Times New Roman" w:hAnsi="Times New Roman" w:eastAsia="Times New Roman" w:cs="Times New Roman"/>
          <w:color w:val="000000"/>
          <w:sz w:val="23"/>
          <w:szCs w:val="23"/>
        </w:rPr>
        <w:t xml:space="preserve">│ 3. Kırılganlık (Vulnerability)│ [███████████████░░░░░] %75,0 (İleri)   │</w:t>
      </w:r>
      <w:r>
        <w:br/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rStyle w:val="VerbatimChar"/>
          <w:rFonts w:ascii="Times New Roman" w:hAnsi="Times New Roman" w:eastAsia="Times New Roman" w:cs="Times New Roman"/>
          <w:color w:val="000000"/>
          <w:sz w:val="23"/>
          <w:szCs w:val="23"/>
        </w:rPr>
        <w:t xml:space="preserve">│ 4. Maliyet (CAPEX / OPEX)     │ [████████░░░░░░░░░░░░] %42,5 (Kısmi)   │</w:t>
      </w:r>
      <w:r>
        <w:br/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rStyle w:val="VerbatimChar"/>
          <w:rFonts w:ascii="Times New Roman" w:hAnsi="Times New Roman" w:eastAsia="Times New Roman" w:cs="Times New Roman"/>
          <w:color w:val="000000"/>
          <w:sz w:val="23"/>
          <w:szCs w:val="23"/>
        </w:rPr>
        <w:t xml:space="preserve">│ 5. Fayda (Triple Dividend)    │ [███████████░░░░░░░░░] %57,5 (Benchmark)│</w:t>
      </w:r>
      <w:r>
        <w:br/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rStyle w:val="VerbatimChar"/>
          <w:rFonts w:ascii="Times New Roman" w:hAnsi="Times New Roman" w:eastAsia="Times New Roman" w:cs="Times New Roman"/>
          <w:color w:val="000000"/>
          <w:sz w:val="23"/>
          <w:szCs w:val="23"/>
        </w:rPr>
        <w:t xml:space="preserve">├───────────────────────────────┼────────────────────────────────────────┤</w:t>
      </w:r>
      <w:r>
        <w:br/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rStyle w:val="VerbatimChar"/>
          <w:rFonts w:ascii="Times New Roman" w:hAnsi="Times New Roman" w:eastAsia="Times New Roman" w:cs="Times New Roman"/>
          <w:color w:val="000000"/>
          <w:sz w:val="23"/>
          <w:szCs w:val="23"/>
        </w:rPr>
        <w:t xml:space="preserve">│ GENEL CBA VERİ KARŞILAMA      │ [████████████░░░░░░░░] %60,0 (Doğrulandı)│</w:t>
      </w:r>
      <w:r>
        <w:br/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rStyle w:val="VerbatimChar"/>
          <w:rFonts w:ascii="Times New Roman" w:hAnsi="Times New Roman" w:eastAsia="Times New Roman" w:cs="Times New Roman"/>
          <w:color w:val="000000"/>
          <w:sz w:val="23"/>
          <w:szCs w:val="23"/>
        </w:rPr>
        <w:t xml:space="preserve">└───────────────────────────────┴────────────────────────────────────────┘</w:t>
      </w:r>
    </w:p>
    <w:bookmarkStart w:id="11" w:name="tehlike-hazard-boyutu-736-karşılama"/>
    <w:p>
      <w:pPr>
        <w:pStyle w:val="Heading2"/>
      </w:pPr>
      <w:r>
        <w:t xml:space="preserve">2.1. Tehlike (Hazard) Boyutu (%73,6 Karşılama)</w:t>
        <w:rPr>
          <w:rFonts w:ascii="Times New Roman" w:hAnsi="Times New Roman" w:eastAsia="Times New Roman" w:cs="Times New Roman"/>
          <w:color w:val="000000"/>
        </w:rPr>
      </w:r>
    </w:p>
    <w:p>
      <w:pPr>
        <w:pStyle w:val="Compact"/>
        <w:numPr>
          <w:ilvl w:val="0"/>
          <w:numId w:val="1001"/>
        </w:numPr>
        <w:spacing w:before="0" w:after="100" w:line="360" w:lineRule="auto"/>
        <w:jc w:val="both"/>
      </w:pP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Doğrulanan Veriler: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MTA 2026 Diri Fay Haritası, AFAD 475Y ivme gridleri, DSİ 25 akım/radar istasyonu, MGM 1970–2026 iklim ekstremleri ve 4.721 itfaiye olay arşivi.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</w:p>
    <w:p>
      <w:pPr>
        <w:pStyle w:val="Compact"/>
        <w:numPr>
          <w:ilvl w:val="0"/>
          <w:numId w:val="1001"/>
        </w:numPr>
        <w:spacing w:before="0" w:after="100" w:line="360" w:lineRule="auto"/>
        <w:jc w:val="both"/>
      </w:pP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Kalan Açık: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DEÜ DAUM mikrobölgeleme rasterları ve detaylı ARAS hücre verisi.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</w:p>
    <w:p>
      <w:pPr>
        <w:pStyle w:val="Compact"/>
        <w:numPr>
          <w:ilvl w:val="0"/>
          <w:numId w:val="1001"/>
        </w:numPr>
        <w:spacing w:before="0" w:after="100" w:line="360" w:lineRule="auto"/>
        <w:jc w:val="both"/>
      </w:pP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CBA Etkisi: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Deprem ve taşkın senaryolarının yıllık aşılma olasılıkları (AEP) sağlam bir zemine oturmuştur.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</w:p>
    <w:bookmarkEnd w:id="11"/>
    <w:bookmarkStart w:id="12" w:name="maruziyet-exposure-boyutu-855-karşılama"/>
    <w:p>
      <w:pPr>
        <w:pStyle w:val="Heading2"/>
      </w:pPr>
      <w:r>
        <w:t xml:space="preserve">2.2. Maruziyet (Exposure) Boyutu (%85,5 Karşılama)</w:t>
        <w:rPr>
          <w:rFonts w:ascii="Times New Roman" w:hAnsi="Times New Roman" w:eastAsia="Times New Roman" w:cs="Times New Roman"/>
          <w:color w:val="000000"/>
        </w:rPr>
      </w:r>
    </w:p>
    <w:p>
      <w:pPr>
        <w:pStyle w:val="Compact"/>
        <w:numPr>
          <w:ilvl w:val="0"/>
          <w:numId w:val="1002"/>
        </w:numPr>
        <w:spacing w:before="0" w:after="100" w:line="360" w:lineRule="auto"/>
        <w:jc w:val="both"/>
      </w:pP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Doğrulanan Veriler: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1.317 mahallede TÜİK nüfus dağılımı, 991 kritik altyapı tesisi, 2.428 toplanma alanı, 1.450 km içme suyu borusu, 128 TEİAŞ iletim hattı, 115 KGM kavşağı.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</w:p>
    <w:p>
      <w:pPr>
        <w:pStyle w:val="Compact"/>
        <w:numPr>
          <w:ilvl w:val="0"/>
          <w:numId w:val="1002"/>
        </w:numPr>
        <w:spacing w:before="0" w:after="100" w:line="360" w:lineRule="auto"/>
        <w:jc w:val="both"/>
      </w:pP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Kalan Açık: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Detaylı elektrik/gaz abone bağlantı noktaları ve anlık trafik O-D matrisleri.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</w:p>
    <w:p>
      <w:pPr>
        <w:pStyle w:val="Compact"/>
        <w:numPr>
          <w:ilvl w:val="0"/>
          <w:numId w:val="1002"/>
        </w:numPr>
        <w:spacing w:before="0" w:after="100" w:line="360" w:lineRule="auto"/>
        <w:jc w:val="both"/>
      </w:pP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CBA Etkisi: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Risk altındaki nüfus, kullanıcı ve kritik varlık büyüklükleri tam doğrulukla hesaplanabilmektedir.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</w:p>
    <w:bookmarkEnd w:id="12"/>
    <w:bookmarkStart w:id="13" w:name="X48ddc0d64f757e14b0cf14d0f0aa82eec995f3c"/>
    <w:p>
      <w:pPr>
        <w:pStyle w:val="Heading2"/>
      </w:pPr>
      <w:r>
        <w:t xml:space="preserve">2.3. Kırılganlık ve Hasar (Vulnerability / Damage) Boyutu (%75,0 Karşılama)</w:t>
        <w:rPr>
          <w:rFonts w:ascii="Times New Roman" w:hAnsi="Times New Roman" w:eastAsia="Times New Roman" w:cs="Times New Roman"/>
          <w:color w:val="000000"/>
        </w:rPr>
      </w:r>
    </w:p>
    <w:p>
      <w:pPr>
        <w:pStyle w:val="Compact"/>
        <w:numPr>
          <w:ilvl w:val="0"/>
          <w:numId w:val="1003"/>
        </w:numPr>
        <w:spacing w:before="0" w:after="100" w:line="360" w:lineRule="auto"/>
        <w:jc w:val="both"/>
      </w:pP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Doğrulanan Veriler: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30 Ekim 2020 depreminde incelenen 215.603 binanın hasar tespit kütüğü (1.710 ağır/orta nokta), KGM sanat yapıları SPoF analizi.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</w:p>
    <w:p>
      <w:pPr>
        <w:pStyle w:val="Compact"/>
        <w:numPr>
          <w:ilvl w:val="0"/>
          <w:numId w:val="1003"/>
        </w:numPr>
        <w:spacing w:before="0" w:after="100" w:line="360" w:lineRule="auto"/>
        <w:jc w:val="both"/>
      </w:pP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Kalan Açık: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İl geneli tüm binaların yapısal tipolojisi (Kademe-B üç pilot ilçe ile sınırlandırılmıştır).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</w:p>
    <w:p>
      <w:pPr>
        <w:pStyle w:val="Compact"/>
        <w:numPr>
          <w:ilvl w:val="0"/>
          <w:numId w:val="1003"/>
        </w:numPr>
        <w:spacing w:before="0" w:after="100" w:line="360" w:lineRule="auto"/>
        <w:jc w:val="both"/>
      </w:pP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CBA Etkisi: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Hasar fonksiyonlarının ampirik kalibrasyonu için Türkiye’deki en güçlü yerel veri tabanı mevcuttur.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</w:p>
    <w:bookmarkEnd w:id="13"/>
    <w:bookmarkStart w:id="14" w:name="maliyet-capex-opex-boyutu-425-karşılama"/>
    <w:p>
      <w:pPr>
        <w:pStyle w:val="Heading2"/>
      </w:pPr>
      <w:r>
        <w:t xml:space="preserve">2.4. Maliyet (CAPEX / OPEX) Boyutu (%42,5 Karşılama)</w:t>
        <w:rPr>
          <w:rFonts w:ascii="Times New Roman" w:hAnsi="Times New Roman" w:eastAsia="Times New Roman" w:cs="Times New Roman"/>
          <w:color w:val="000000"/>
        </w:rPr>
      </w:r>
    </w:p>
    <w:p>
      <w:pPr>
        <w:pStyle w:val="Compact"/>
        <w:numPr>
          <w:ilvl w:val="0"/>
          <w:numId w:val="1004"/>
        </w:numPr>
        <w:spacing w:before="0" w:after="100" w:line="360" w:lineRule="auto"/>
        <w:jc w:val="both"/>
      </w:pP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Mevcut Durum: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AFAD ve belediyeden detaylı metraj cetvelleri ve işletme-bakım (O&amp;M) taahhütleri henüz intikal etmemiştir. Yalnızca DSİ ve KGM makro proje listeleri mevcuttur.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</w:p>
    <w:p>
      <w:pPr>
        <w:pStyle w:val="Compact"/>
        <w:numPr>
          <w:ilvl w:val="0"/>
          <w:numId w:val="1004"/>
        </w:numPr>
        <w:spacing w:before="0" w:after="100" w:line="360" w:lineRule="auto"/>
        <w:jc w:val="both"/>
      </w:pP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Uygulanacak Çözüm: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Dünya Bankası standart altyapı birim maliyetleri ve ÇŞİDB 2026 resmî birim fiyatları uygulanacaktır.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</w:p>
    <w:bookmarkEnd w:id="14"/>
    <w:bookmarkStart w:id="15" w:name="X4ca2d6d1801bc8acc8967a50c4385ba0034c2da"/>
    <w:p>
      <w:pPr>
        <w:pStyle w:val="Heading2"/>
      </w:pPr>
      <w:r>
        <w:t xml:space="preserve">2.5. Fayda ve Üçlü Temettü (Benefit / Triple Dividend) Boyutu (%57,5 Karşılama)</w:t>
        <w:rPr>
          <w:rFonts w:ascii="Times New Roman" w:hAnsi="Times New Roman" w:eastAsia="Times New Roman" w:cs="Times New Roman"/>
          <w:color w:val="000000"/>
        </w:rPr>
      </w:r>
    </w:p>
    <w:p>
      <w:pPr>
        <w:pStyle w:val="Compact"/>
        <w:numPr>
          <w:ilvl w:val="0"/>
          <w:numId w:val="1005"/>
        </w:numPr>
        <w:spacing w:before="0" w:after="100" w:line="360" w:lineRule="auto"/>
        <w:jc w:val="both"/>
      </w:pP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Mevcut Durum: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İzmir’e özgü doğrudan ölçülmüş VoLL (Elektrik Kesinti Değeri), Su Kesinti Değeri ve Zaman Değeri (VoT) yerel anket verisi bulunmamaktadır.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</w:p>
    <w:p>
      <w:pPr>
        <w:pStyle w:val="Compact"/>
        <w:numPr>
          <w:ilvl w:val="0"/>
          <w:numId w:val="1005"/>
        </w:numPr>
        <w:spacing w:before="0" w:after="100" w:line="360" w:lineRule="auto"/>
        <w:jc w:val="both"/>
      </w:pP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Uygulanacak Çözüm: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Dünya Bankası Türkiye ulaştırma ve enerji sektör normları (VoT: $4,5/saat, VoLL: $8,2/kWh, VSL: $650k) ve akademik literatür katsayılarıyla ikame edilmektedir.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</w:p>
    <w:p>
      <w:r>
        <w:pict>
          <ns5:rect style="width:0;height:1.5pt" ns6:hralign="center" ns6:hrstd="t" ns6:hr="t"/>
        </w:pic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pPr>
        <w:spacing w:before="0" w:after="100" w:line="360" w:lineRule="auto"/>
        <w:jc w:val="both"/>
      </w:pPr>
    </w:p>
    <w:bookmarkEnd w:id="15"/>
    <w:bookmarkEnd w:id="16"/>
    <w:bookmarkStart w:id="17" w:name="X81cf9505ab772b8d269d85267d7041e2eadb286"/>
    <w:p>
      <w:pPr>
        <w:pStyle w:val="Heading1"/>
      </w:pPr>
      <w:r>
        <w:t xml:space="preserve">BÖLÜM 3: SONUÇ VE EVREN ERDİN &amp; İSMAİL ÇAĞRI ÖZCAN EYLEM PLANI</w:t>
        <w:rPr>
          <w:rFonts w:ascii="Times New Roman" w:hAnsi="Times New Roman" w:eastAsia="Times New Roman" w:cs="Times New Roman"/>
          <w:color w:val="000000"/>
        </w:rPr>
      </w:r>
    </w:p>
    <w:p>
      <w:pPr>
        <w:pStyle w:val="FirstParagraph"/>
        <w:spacing w:before="0" w:after="100" w:line="360" w:lineRule="auto"/>
        <w:jc w:val="both"/>
      </w:pPr>
      <w:r>
        <w:t xml:space="preserve">Toplantıda zikredilen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“%60 oranında veri geldi”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tespiti, teknik olarak şu gerçeğe işaret etmektedir: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&gt;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i/>
          <w:iCs/>
          <w:rFonts w:ascii="Times New Roman" w:hAnsi="Times New Roman" w:eastAsia="Times New Roman" w:cs="Times New Roman"/>
          <w:color w:val="000000"/>
          <w:sz w:val="23"/>
          <w:szCs w:val="23"/>
        </w:rPr>
        <w:t xml:space="preserve">“Fiziksel tehlike, maruziyet ve hasar verilerinin %80’i tamamlanmış; ancak projenin ikinci fazı olan ekonomik maliyet (CAPEX/OPEX) ve parasallaştırma parametrelerinde kurumsal veriler %30-%40 düzeyinde kalmıştır. Bu durum Dünya Bankası projelerinde standart bir durumdur ve uluslararası benchmark katsayılarıyla kapatılacaktır.”</w:t>
      </w:r>
    </w:p>
    <w:p>
      <w:pPr>
        <w:pStyle w:val="BodyText"/>
        <w:spacing w:before="0" w:after="100" w:line="360" w:lineRule="auto"/>
        <w:jc w:val="both"/>
      </w:pP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Önerilen İvedi Aksiyonlar: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1.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İsmail Çağrı Özcan Hocaya Bilgi Notu: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Bu döküm ve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rStyle w:val="VerbatimChar"/>
          <w:rFonts w:ascii="Times New Roman" w:hAnsi="Times New Roman" w:eastAsia="Times New Roman" w:cs="Times New Roman"/>
          <w:color w:val="000000"/>
          <w:sz w:val="23"/>
          <w:szCs w:val="23"/>
        </w:rPr>
        <w:t xml:space="preserve">Resilient_Izmir_Coordination_Toolkit_20261001.xlsx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içindeki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rStyle w:val="VerbatimChar"/>
          <w:rFonts w:ascii="Times New Roman" w:hAnsi="Times New Roman" w:eastAsia="Times New Roman" w:cs="Times New Roman"/>
          <w:color w:val="000000"/>
          <w:sz w:val="23"/>
          <w:szCs w:val="23"/>
        </w:rPr>
        <w:t xml:space="preserve">CBA Data Audit &amp; Gap Matrix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çalışma sayfası paylaşılarak, veri setinin CBA modelini çalıştırmak için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yeterli eşikte (%60)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olduğu ve eksik kısımların Dünya Bankası metodolojisi uyarınca parametrik proxy’lerle ikame edileceği teyit edilecektir.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2.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AFAD’a İkinci Aşama Odaklı Veri Talebi: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Eksik kalan %40’lık dilimden öncelikli olarak İBB ve İZSU’dan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“mevcut su/taşkın projeleri keşif özetleri”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ve GDZ Elektrik’ten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“arıza/kesinti süreleri (SAIDI/SAIFI)”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talep edilecektir.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3.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rPr>
          <w:b/>
          <w:bCs/>
          <w:rFonts w:ascii="Times New Roman" w:hAnsi="Times New Roman" w:eastAsia="Times New Roman" w:cs="Times New Roman"/>
          <w:color w:val="000000"/>
          <w:sz w:val="23"/>
          <w:szCs w:val="23"/>
        </w:rPr>
        <w:t xml:space="preserve">Platform Entegrasyonu:</w:t>
      </w:r>
      <w:r>
        <w:t xml:space="preserve"> </w:t>
        <w:rPr>
          <w:rFonts w:ascii="Times New Roman" w:hAnsi="Times New Roman" w:eastAsia="Times New Roman" w:cs="Times New Roman"/>
          <w:color w:val="000000"/>
          <w:sz w:val="23"/>
          <w:szCs w:val="23"/>
        </w:rPr>
      </w:r>
      <w:r>
        <w:t xml:space="preserve">Karar Destek Platformundaki yatırım simülatöründe (v3.8) kullanılan göstergelerin ampirik AFAD verisine dayandığı, maliyet/fayda hesaplarının ise WB normlarıyla desteklendiği şeffaf olarak belirtilmiştir.</w:t>
        <w:rPr>
          <w:rFonts w:ascii="Times New Roman" w:hAnsi="Times New Roman" w:eastAsia="Times New Roman" w:cs="Times New Roman"/>
          <w:color w:val="000000"/>
          <w:sz w:val="23"/>
          <w:szCs w:val="23"/>
        </w:rPr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Times New Roman" w:hAnsi="Times New Roman" w:eastAsia="Times New Roman" w:cs="Times New Roman"/>
      <w:sz w:val="56"/>
      <w:szCs w:val="56"/>
      <w:color w:val="00000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Times New Roman" w:hAnsi="Times New Roman" w:eastAsia="Times New Roman" w:cs="Times New Roman"/>
      <w:spacing w:val="15"/>
      <w:sz w:val="28"/>
      <w:szCs w:val="28"/>
      <w:color w:val="00000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Times New Roman" w:hAnsi="Times New Roman" w:eastAsia="Times New Roman" w:cs="Times New Roman"/>
      <w:color w:val="000000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Times New Roman" w:hAnsi="Times New Roman" w:eastAsia="Times New Roman" w:cs="Times New Roman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Times New Roman" w:hAnsi="Times New Roman" w:eastAsia="Times New Roman" w:cs="Times New Roman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Times New Roman" w:hAnsi="Times New Roman" w:eastAsia="Times New Roman" w:cs="Times New Roman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  <w:color w:val="000000"/>
      <w:rFonts w:ascii="Times New Roman" w:hAnsi="Times New Roman" w:eastAsia="Times New Roman" w:cs="Times New Roman"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2026-10-01T19:47:24Z</dcterms:created>
  <dcterms:modified xsi:type="dcterms:W3CDTF">2026-10-01T19:47:24Z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