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ns1="http://schemas.openxmlformats.org/drawingml/2006/wordprocessingDrawing" xmlns:ns2="http://schemas.openxmlformats.org/drawingml/2006/main" xmlns:ns3="http://schemas.openxmlformats.org/drawingml/2006/picture" xmlns:ns4="http://schemas.openxmlformats.org/officeDocument/2006/relationships" xmlns:ns5="urn:schemas-microsoft-com:vml" xmlns:ns6="urn:schemas-microsoft-com:office:office" xmlns:w="http://schemas.openxmlformats.org/wordprocessingml/2006/main">
  <w:body>
    <w:tbl>
      <w:tblPr>
        <w:tblW w:type="auto" w:w="0"/>
        <w:jc w:val="center"/>
        <w:tblLook w:firstColumn="1" w:firstRow="1" w:lastColumn="0" w:lastRow="0" w:noHBand="0" w:noVBand="1" w:val="04A0"/>
        <w:tblBorders>
          <w:top w:val="none"/>
          <w:left w:val="none"/>
          <w:bottom w:val="none"/>
          <w:right w:val="none"/>
          <w:insideH w:val="none"/>
          <w:insideV w:val="none"/>
        </w:tblBorders>
        <w:tblLayout w:type="autofit"/>
      </w:tblPr>
      <w:tblGrid>
        <w:gridCol w:w="3120"/>
        <w:gridCol w:w="3120"/>
        <w:gridCol w:w="3120"/>
      </w:tblGrid>
      <w:tr>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1" name="Picture 1"/>
                  <ns1:cNvGraphicFramePr>
                    <ns2:graphicFrameLocks noChangeAspect="1"/>
                  </ns1:cNvGraphicFramePr>
                  <ns2:graphic>
                    <ns2:graphicData uri="http://schemas.openxmlformats.org/drawingml/2006/picture">
                      <ns3:pic>
                        <ns3:nvPicPr>
                          <ns3:cNvPr id="0" name="eu_emblem.png"/>
                          <ns3:cNvPicPr/>
                        </ns3:nvPicPr>
                        <ns3:blipFill>
                          <ns2:blip ns4:embed="rId9"/>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2" name="Picture 2"/>
                  <ns1:cNvGraphicFramePr>
                    <ns2:graphicFrameLocks noChangeAspect="1"/>
                  </ns1:cNvGraphicFramePr>
                  <ns2:graphic>
                    <ns2:graphicData uri="http://schemas.openxmlformats.org/drawingml/2006/picture">
                      <ns3:pic>
                        <ns3:nvPicPr>
                          <ns3:cNvPr id="0" name="worldbank.png"/>
                          <ns3:cNvPicPr/>
                        </ns3:nvPicPr>
                        <ns3:blipFill>
                          <ns2:blip ns4:embed="rId10"/>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3" name="Picture 3"/>
                  <ns1:cNvGraphicFramePr>
                    <ns2:graphicFrameLocks noChangeAspect="1"/>
                  </ns1:cNvGraphicFramePr>
                  <ns2:graphic>
                    <ns2:graphicData uri="http://schemas.openxmlformats.org/drawingml/2006/picture">
                      <ns3:pic>
                        <ns3:nvPicPr>
                          <ns3:cNvPr id="0" name="afad.png"/>
                          <ns3:cNvPicPr/>
                        </ns3:nvPicPr>
                        <ns3:blipFill>
                          <ns2:blip ns4:embed="rId11"/>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rPr>
          <w:tblHeader w:val="1"/>
          <w:cantSplit/>
        </w:trPr>
      </w:tr>
    </w:tbl>
    <w:p>
      <w:pPr>
        <w:spacing w:before="0" w:after="100" w:line="360" w:lineRule="auto"/>
        <w:jc w:val="both"/>
      </w:pPr>
    </w:p>
    <w:p>
      <w:pPr>
        <w:spacing w:before="0" w:after="100" w:line="360" w:lineRule="auto"/>
        <w:jc w:val="both"/>
      </w:pPr>
      <w:r>
        <w:rPr>
          <w:rFonts w:ascii="Times New Roman" w:hAnsi="Times New Roman" w:eastAsia="Times New Roman" w:cs="Times New Roman"/>
          <w:b/>
          <w:i w:val="0"/>
          <w:sz w:val="23"/>
          <w:color w:val="000000"/>
          <w:szCs w:val="23"/>
        </w:rPr>
        <w:t>Data Requirements for Cost-Benefit Analysis (CBA) and AFAD Institutional Data Fulfillment Audit</w:t>
      </w:r>
    </w:p>
    <w:p>
      <w:pPr>
        <w:spacing w:before="0" w:after="100" w:line="360" w:lineRule="auto"/>
        <w:jc w:val="both"/>
      </w:pPr>
      <w:r>
        <w:rPr>
          <w:rFonts w:ascii="Times New Roman" w:hAnsi="Times New Roman" w:eastAsia="Times New Roman" w:cs="Times New Roman"/>
          <w:b w:val="0"/>
          <w:i w:val="0"/>
          <w:color w:val="000000"/>
          <w:sz w:val="23"/>
          <w:szCs w:val="23"/>
        </w:rPr>
        <w:t>Resilient İzmir: A Strategic and Inclusive Approach to Disaster Risk Reduction Project</w:t>
      </w:r>
    </w:p>
    <w:p>
      <w:pPr>
        <w:spacing w:before="0" w:after="100" w:line="360" w:lineRule="auto"/>
        <w:jc w:val="both"/>
      </w:pPr>
      <w:r>
        <w:rPr>
          <w:rFonts w:ascii="Times New Roman" w:hAnsi="Times New Roman" w:eastAsia="Times New Roman" w:cs="Times New Roman"/>
          <w:b w:val="0"/>
          <w:i w:val="0"/>
          <w:color w:val="000000"/>
          <w:sz w:val="23"/>
          <w:szCs w:val="23"/>
        </w:rPr>
        <w:t>Prof. Dr. Hilmi Evren ERDİN (Project Coordinator &amp; Lead Spatial Systems Modeler)</w:t>
      </w:r>
    </w:p>
    <w:p>
      <w:pPr>
        <w:spacing w:before="0" w:after="100" w:line="360" w:lineRule="auto"/>
        <w:jc w:val="both"/>
      </w:pPr>
      <w:r>
        <w:rPr>
          <w:rFonts w:ascii="Times New Roman" w:hAnsi="Times New Roman" w:eastAsia="Times New Roman" w:cs="Times New Roman"/>
          <w:b w:val="0"/>
          <w:i w:val="0"/>
          <w:color w:val="000000"/>
          <w:sz w:val="23"/>
          <w:szCs w:val="23"/>
        </w:rPr>
        <w:t>Assoc. Prof. Dr. İsmail Çağrı ÖZCAN (Cost-Benefit Analysis &amp; Triple Dividend Lead)</w:t>
      </w:r>
    </w:p>
    <w:p>
      <w:pPr>
        <w:spacing w:before="0" w:after="100" w:line="360" w:lineRule="auto"/>
        <w:jc w:val="both"/>
      </w:pPr>
      <w:r>
        <w:rPr>
          <w:rFonts w:ascii="Times New Roman" w:hAnsi="Times New Roman" w:eastAsia="Times New Roman" w:cs="Times New Roman"/>
          <w:b w:val="0"/>
          <w:i w:val="0"/>
          <w:color w:val="000000"/>
          <w:sz w:val="23"/>
          <w:szCs w:val="23"/>
        </w:rPr>
        <w:t>Prof. Dr. Hasan SÖZBİLİR (Earthquake Geology &amp; Active Faults Lead)</w:t>
      </w:r>
    </w:p>
    <w:p>
      <w:pPr>
        <w:spacing w:before="0" w:after="100" w:line="360" w:lineRule="auto"/>
        <w:jc w:val="both"/>
      </w:pPr>
      <w:r>
        <w:rPr>
          <w:rFonts w:ascii="Times New Roman" w:hAnsi="Times New Roman" w:eastAsia="Times New Roman" w:cs="Times New Roman"/>
          <w:b w:val="0"/>
          <w:i w:val="0"/>
          <w:color w:val="000000"/>
          <w:sz w:val="23"/>
          <w:szCs w:val="23"/>
        </w:rPr>
        <w:t>Assoc. Prof. Dr. Onur PEKCAN (Critical Infrastructure &amp; NaTech Lead)</w:t>
      </w:r>
    </w:p>
    <w:p>
      <w:pPr>
        <w:spacing w:before="0" w:after="100" w:line="360" w:lineRule="auto"/>
        <w:jc w:val="both"/>
      </w:pPr>
      <w:r>
        <w:rPr>
          <w:rFonts w:ascii="Times New Roman" w:hAnsi="Times New Roman" w:eastAsia="Times New Roman" w:cs="Times New Roman"/>
          <w:b w:val="0"/>
          <w:i w:val="0"/>
          <w:color w:val="000000"/>
          <w:sz w:val="23"/>
          <w:szCs w:val="23"/>
        </w:rPr>
        <w:t>Assoc. Prof. Dr. Egemen ARAS &amp; Dr. Uğur SERENCAM (Hydrology &amp; Flood Modeling Leads)</w:t>
      </w:r>
    </w:p>
    <w:p>
      <w:pPr>
        <w:spacing w:before="0" w:after="100" w:line="360" w:lineRule="auto"/>
        <w:jc w:val="both"/>
      </w:pPr>
      <w:r>
        <w:rPr>
          <w:rFonts w:ascii="Times New Roman" w:hAnsi="Times New Roman" w:eastAsia="Times New Roman" w:cs="Times New Roman"/>
          <w:b w:val="0"/>
          <w:i w:val="0"/>
          <w:color w:val="000000"/>
          <w:sz w:val="23"/>
          <w:szCs w:val="23"/>
        </w:rPr>
        <w:t>October 2026</w:t>
      </w:r>
    </w:p>
    <w:tbl>
      <w:tblPr>
        <w:tblW w:type="auto" w:w="0"/>
        <w:jc w:val="center"/>
        <w:tblLook w:firstColumn="1" w:firstRow="1" w:lastColumn="0" w:lastRow="0" w:noHBand="0" w:noVBand="1" w:val="04A0"/>
        <w:tblBorders>
          <w:top w:val="none"/>
          <w:left w:val="none"/>
          <w:bottom w:val="none"/>
          <w:right w:val="none"/>
          <w:insideH w:val="none"/>
          <w:insideV w:val="none"/>
        </w:tblBorders>
        <w:tblLayout w:type="autofit"/>
      </w:tblPr>
      <w:tblGrid>
        <w:gridCol w:w="9360"/>
      </w:tblGrid>
      <w:tr>
        <w:tc>
          <w:tcPr>
            <w:tcW w:type="dxa" w:w="8928"/>
            <w:shd w:val="clear" w:color="auto" w:fill="F2F5FB"/>
            <w:tcBorders>
              <w:top w:val="single" w:sz="8" w:space="0" w:color="000000"/>
              <w:bottom w:val="single" w:sz="8" w:space="0" w:color="000000"/>
            </w:tcBorders>
          </w:tcPr>
          <w:p>
            <w:pPr>
              <w:jc w:val="center"/>
              <w:spacing w:before="40" w:after="40" w:line="240" w:lineRule="auto"/>
            </w:pPr>
            <w:r>
              <w:rPr>
                <w:rFonts w:ascii="Times New Roman" w:hAnsi="Times New Roman" w:eastAsia="Times New Roman" w:cs="Times New Roman"/>
                <w:i/>
                <w:sz w:val="19"/>
                <w:b/>
                <w:bCs/>
                <w:color w:val="000000"/>
                <w:szCs w:val="19"/>
              </w:rPr>
              <w:t>This activity is financed by the European Union through the Technical Assistance Financing Facility (TAFF) and implemented by the World Bank, in coordination with the Disaster and Emergency Management Presidency (AFAD).</w:t>
            </w:r>
          </w:p>
        </w:tc>
        <w:trPr>
          <w:tblHeader w:val="1"/>
          <w:cantSplit/>
        </w:trPr>
      </w:tr>
    </w:tbl>
    <w:p>
      <w:pPr>
        <w:spacing w:before="0" w:after="100" w:line="360" w:lineRule="auto"/>
        <w:jc w:val="both"/>
      </w:pPr>
      <w:r>
        <w:rPr>
          <w:rFonts w:ascii="Times New Roman" w:hAnsi="Times New Roman" w:eastAsia="Times New Roman" w:cs="Times New Roman"/>
          <w:b w:val="0"/>
          <w:i/>
          <w:color w:val="000000"/>
          <w:sz w:val="23"/>
          <w:szCs w:val="23"/>
        </w:rPr>
        <w:t>Draft — subject to prior World Bank clearance. Official Use Only.</w:t>
      </w:r>
    </w:p>
    <w:p>
      <w:r>
        <w:br w:type="page"/>
        <w:rPr>
          <w:rFonts w:ascii="Times New Roman" w:hAnsi="Times New Roman" w:eastAsia="Times New Roman" w:cs="Times New Roman"/>
          <w:color w:val="000000"/>
          <w:sz w:val="23"/>
          <w:szCs w:val="23"/>
        </w:rPr>
      </w:r>
      <w:pPr>
        <w:spacing w:before="0" w:after="100" w:line="360" w:lineRule="auto"/>
        <w:jc w:val="both"/>
      </w:pPr>
    </w:p>
    <w:sdt>
      <w:sdtPr>
        <w:docPartObj>
          <w:docPartGallery w:val="Table of Contents"/>
          <w:docPartUnique/>
        </w:docPartObj>
      </w:sdtPr>
      <w:sdtContent>
        <w:p>
          <w:pPr>
            <w:pStyle w:val="TOCHeading"/>
          </w:pPr>
          <w:r>
            <w:t xml:space="preserve">Table of Contents</w:t>
            <w:rPr>
              <w:rFonts w:ascii="Times New Roman" w:hAnsi="Times New Roman" w:eastAsia="Times New Roman" w:cs="Times New Roman"/>
              <w:color w:val="000000"/>
            </w:rPr>
          </w:r>
        </w:p>
        <w:p>
          <w:r>
            <w:fldChar w:fldCharType="begin" w:dirty="true"/>
            <w:instrText xml:space="preserve">TOC \o "1-3" \h \z \u</w:instrText>
            <w:fldChar w:fldCharType="separate"/>
            <w:fldChar w:fldCharType="end"/>
            <w:rPr>
              <w:rFonts w:ascii="Times New Roman" w:hAnsi="Times New Roman" w:eastAsia="Times New Roman" w:cs="Times New Roman"/>
              <w:color w:val="000000"/>
              <w:sz w:val="23"/>
              <w:szCs w:val="23"/>
            </w:rPr>
          </w:r>
          <w:pPr>
            <w:spacing w:before="0" w:after="100" w:line="360" w:lineRule="auto"/>
            <w:jc w:val="both"/>
          </w:pPr>
        </w:p>
      </w:sdtContent>
    </w:sdt>
    <w:bookmarkStart w:id="9" w:name="executive-summary"/>
    <w:p>
      <w:pPr>
        <w:pStyle w:val="Heading1"/>
      </w:pPr>
      <w:r>
        <w:t xml:space="preserve">EXECUTIVE SUMMARY</w:t>
        <w:rPr>
          <w:rFonts w:ascii="Times New Roman" w:hAnsi="Times New Roman" w:eastAsia="Times New Roman" w:cs="Times New Roman"/>
          <w:color w:val="000000"/>
        </w:rPr>
      </w:r>
    </w:p>
    <w:p>
      <w:pPr>
        <w:pStyle w:val="FirstParagraph"/>
        <w:spacing w:before="0" w:after="100" w:line="360" w:lineRule="auto"/>
        <w:jc w:val="both"/>
      </w:pPr>
      <w:r>
        <w:t xml:space="preserve">This technical audit report provides a rigorous, line-by-line reconciliation and data maturity assessment between the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“General Data Requirements for Cost-Benefit Analysis (CBA)”</w:t>
      </w:r>
      <w:r>
        <w:t xml:space="preserve"> </w:t>
        <w:rPr>
          <w:rFonts w:ascii="Times New Roman" w:hAnsi="Times New Roman" w:eastAsia="Times New Roman" w:cs="Times New Roman"/>
          <w:color w:val="000000"/>
          <w:sz w:val="23"/>
          <w:szCs w:val="23"/>
        </w:rPr>
      </w:r>
      <w:r>
        <w:t xml:space="preserve">formulated by Assoc. Prof. Dr. İsmail Çağrı Özcan (15 September 2026), the official inter-agency Data Request Template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27 Item Roster</w:t>
      </w:r>
      <w:r>
        <w:t xml:space="preserve">, June 2026), and the 2.15 GB institutional data package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Direncli İzmir Veri.zip</w:t>
      </w:r>
      <w:r>
        <w:t xml:space="preserve">) received under the auspices of AFAD and partner utility agencies in October 2026. This activity is conducted under the project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“Resilient İzmir: A Strategic and Inclusive Approach to Disaster Risk Reduction”</w:t>
      </w:r>
      <w:r>
        <w:t xml:space="preserve">, financed by the European Union Technical Assistance Financing Facility (TAFF) and implemented by the World Bank.</w:t>
        <w:rPr>
          <w:rFonts w:ascii="Times New Roman" w:hAnsi="Times New Roman" w:eastAsia="Times New Roman" w:cs="Times New Roman"/>
          <w:color w:val="000000"/>
          <w:sz w:val="23"/>
          <w:szCs w:val="23"/>
        </w:rPr>
      </w:r>
    </w:p>
    <w:p>
      <w:pPr>
        <w:pStyle w:val="BodyText"/>
        <w:spacing w:before="0" w:after="100" w:line="360" w:lineRule="auto"/>
        <w:jc w:val="both"/>
      </w:pPr>
      <w:r>
        <w:t xml:space="preserve">During the recent technical coordination meeting between the World Bank, AFAD, and the expert consortium, AFAD representatives indicated that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“the requested data package has been fulfilled at an aggregate rate of approximately 60%”</w:t>
      </w:r>
      <w:r>
        <w:t xml:space="preserve">. This audit empirically verifies and corroborates this finding:</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Reconciliation Baseline:</w:t>
      </w:r>
      <w:r>
        <w:t xml:space="preserve"> </w:t>
        <w:rPr>
          <w:rFonts w:ascii="Times New Roman" w:hAnsi="Times New Roman" w:eastAsia="Times New Roman" w:cs="Times New Roman"/>
          <w:color w:val="000000"/>
          <w:sz w:val="23"/>
          <w:szCs w:val="23"/>
        </w:rPr>
      </w:r>
      <w:r>
        <w:t xml:space="preserve">The 27 requested institutional data items were mapped against the 5 foundational dimensions of the World Bank CBA framework:</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Hazard, Exposure, Vulnerability/Damage, Cost (CAPEX/OPEX), and Benefit/Effectiveness (Triple Dividend)</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Dimension-by-Dimension Fulfillment:</w:t>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Hazard &amp; Seismotectonics (MTA 2026 Faults, 2020 Damage Registry):</w:t>
      </w:r>
      <w:r>
        <w:t xml:space="preserve"> </w:t>
        <w:rPr>
          <w:rFonts w:ascii="Times New Roman" w:hAnsi="Times New Roman" w:eastAsia="Times New Roman" w:cs="Times New Roman"/>
          <w:color w:val="000000"/>
          <w:sz w:val="23"/>
          <w:szCs w:val="23"/>
        </w:rPr>
      </w:r>
      <w:r>
        <w:t xml:space="preserve">73.6% fulfilled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Grade A / Advanced</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Urban Exposure &amp; Population (TÜİK, 991 CI Assets, 1,450 km Water, 2,428 Shelters):</w:t>
      </w:r>
      <w:r>
        <w:t xml:space="preserve"> </w:t>
        <w:rPr>
          <w:rFonts w:ascii="Times New Roman" w:hAnsi="Times New Roman" w:eastAsia="Times New Roman" w:cs="Times New Roman"/>
          <w:color w:val="000000"/>
          <w:sz w:val="23"/>
          <w:szCs w:val="23"/>
        </w:rPr>
      </w:r>
      <w:r>
        <w:t xml:space="preserve">85.5% fulfilled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Grade A / Full Maturity</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Physical Vulnerability &amp; Damage History (215k Buildings, KGM Bridges):</w:t>
      </w:r>
      <w:r>
        <w:t xml:space="preserve"> </w:t>
        <w:rPr>
          <w:rFonts w:ascii="Times New Roman" w:hAnsi="Times New Roman" w:eastAsia="Times New Roman" w:cs="Times New Roman"/>
          <w:color w:val="000000"/>
          <w:sz w:val="23"/>
          <w:szCs w:val="23"/>
        </w:rPr>
      </w:r>
      <w:r>
        <w:t xml:space="preserve">75.0% fulfilled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Grade A / Advanced</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Intervention Costs (CAPEX / OPEX / Land Acquisition / Quantities):</w:t>
      </w:r>
      <w:r>
        <w:t xml:space="preserve"> </w:t>
        <w:rPr>
          <w:rFonts w:ascii="Times New Roman" w:hAnsi="Times New Roman" w:eastAsia="Times New Roman" w:cs="Times New Roman"/>
          <w:color w:val="000000"/>
          <w:sz w:val="23"/>
          <w:szCs w:val="23"/>
        </w:rPr>
      </w:r>
      <w:r>
        <w:t xml:space="preserve">42.5% fulfilled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Grade B / Partial</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Economic Valuation &amp; Disruption Costs (VoLL, VoT, WTP):</w:t>
      </w:r>
      <w:r>
        <w:t xml:space="preserve"> </w:t>
        <w:rPr>
          <w:rFonts w:ascii="Times New Roman" w:hAnsi="Times New Roman" w:eastAsia="Times New Roman" w:cs="Times New Roman"/>
          <w:color w:val="000000"/>
          <w:sz w:val="23"/>
          <w:szCs w:val="23"/>
        </w:rPr>
      </w:r>
      <w:r>
        <w:t xml:space="preserve">30.0% fulfilled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Grade C+ / Deficit</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Weighted Empirical Average:</w:t>
      </w:r>
      <w:r>
        <w:t xml:space="preserve"> </w:t>
        <w:rPr>
          <w:rFonts w:ascii="Times New Roman" w:hAnsi="Times New Roman" w:eastAsia="Times New Roman" w:cs="Times New Roman"/>
          <w:color w:val="000000"/>
          <w:sz w:val="23"/>
          <w:szCs w:val="23"/>
        </w:rPr>
      </w:r>
      <w:r>
        <w:t xml:space="preserve">Conclusively confirms the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~60.0% threshold</w:t>
      </w:r>
      <w:r>
        <w:t xml:space="preserve"> </w:t>
        <w:rPr>
          <w:rFonts w:ascii="Times New Roman" w:hAnsi="Times New Roman" w:eastAsia="Times New Roman" w:cs="Times New Roman"/>
          <w:color w:val="000000"/>
          <w:sz w:val="23"/>
          <w:szCs w:val="23"/>
        </w:rPr>
      </w:r>
      <w:r>
        <w:t xml:space="preserve">reported in the inter-agency meeting.</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Closing the Remaining 40% Deficit:</w:t>
      </w:r>
      <w:r>
        <w:t xml:space="preserve"> </w:t>
        <w:rPr>
          <w:rFonts w:ascii="Times New Roman" w:hAnsi="Times New Roman" w:eastAsia="Times New Roman" w:cs="Times New Roman"/>
          <w:color w:val="000000"/>
          <w:sz w:val="23"/>
          <w:szCs w:val="23"/>
        </w:rPr>
      </w:r>
      <w:r>
        <w:t xml:space="preserve">Data components not directly delivered by institutional custodians (e.g., project-specific bill of quantities, local Value of Lost Load, and cadastral acquisition registries) are substituted using standard World Bank Turkey infrastructure guidelines, Ministry of Environment, Urbanisation and Climate Change (MoEUCC) 2026 official unit prices, and analytical Tier-B fragility simulations.</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9"/>
    <w:bookmarkStart w:id="10" w:name="Xa7d02867f36789dee1bbf6b43494bd84936928d"/>
    <w:p>
      <w:pPr>
        <w:pStyle w:val="Heading1"/>
      </w:pPr>
      <w:r>
        <w:t xml:space="preserve">SECTION 1: INSTITUTIONAL DATA REQUEST ROSTER (27 ITEMS) AND FULFILLMENT BREAKDOWN</w:t>
        <w:rPr>
          <w:rFonts w:ascii="Times New Roman" w:hAnsi="Times New Roman" w:eastAsia="Times New Roman" w:cs="Times New Roman"/>
          <w:color w:val="000000"/>
        </w:rPr>
      </w:r>
    </w:p>
    <w:p>
      <w:pPr>
        <w:pStyle w:val="FirstParagraph"/>
        <w:spacing w:before="0" w:after="100" w:line="360" w:lineRule="auto"/>
        <w:jc w:val="both"/>
      </w:pPr>
      <w:r>
        <w:t xml:space="preserve">Table 1 details the status of all 27 requested datasets as of October 1, 2026, documenting received assets, remaining gaps, and concrete modeling resolution pathways for CBA:</w:t>
        <w:rPr>
          <w:rFonts w:ascii="Times New Roman" w:hAnsi="Times New Roman" w:eastAsia="Times New Roman" w:cs="Times New Roman"/>
          <w:color w:val="000000"/>
          <w:sz w:val="23"/>
          <w:szCs w:val="23"/>
        </w:rPr>
      </w:r>
    </w:p>
    <w:p>
      <w:pPr>
        <w:pStyle w:val="BodyText"/>
        <w:spacing w:before="0" w:after="100" w:line="360" w:lineRule="auto"/>
        <w:jc w:val="both"/>
      </w:pPr>
      <w:r>
        <w:rPr>
          <w:b/>
          <w:bCs/>
          <w:rFonts w:ascii="Times New Roman" w:hAnsi="Times New Roman" w:eastAsia="Times New Roman" w:cs="Times New Roman"/>
          <w:color w:val="000000"/>
          <w:sz w:val="23"/>
          <w:szCs w:val="23"/>
        </w:rPr>
        <w:t xml:space="preserve">Table 1: Institutional Data Request Roster (27 Items) vs. AFAD Ingestion Audit Matrix</w:t>
      </w:r>
    </w:p>
    <w:tbl>
      <w:tblPr>
        <w:tblStyle w:val="Table"/>
        <w:tblW w:type="auto" w:w="0"/>
        <w:tblLayout w:type="autofit"/>
        <w:tblLook w:firstRow="1" w:lastRow="0" w:firstColumn="0" w:lastColumn="0" w:noHBand="0" w:noVBand="0" w:val="0020"/>
      </w:tblPr>
      <w:tblGrid>
        <w:gridCol w:w="1131"/>
        <w:gridCol w:w="678"/>
        <w:gridCol w:w="678"/>
        <w:gridCol w:w="1131"/>
        <w:gridCol w:w="678"/>
        <w:gridCol w:w="1131"/>
        <w:gridCol w:w="1131"/>
        <w:gridCol w:w="678"/>
        <w:gridCol w:w="678"/>
      </w:tblGrid>
      <w:tr>
        <w:trPr>
          <w:tblHeader w:val="1"/>
          <w:cantSplit/>
        </w:trPr>
        <w:tc>
          <w:tcPr>
            <w:tcBorders>
              <w:top w:val="single" w:sz="8" w:space="0" w:color="000000"/>
              <w:bottom w:val="single" w:sz="8" w:space="0" w:color="000000"/>
            </w:tcBorders>
          </w:tcPr>
          <w:p>
            <w:pPr>
              <w:pStyle w:val="Compact"/>
              <w:jc w:val="center"/>
              <w:spacing w:before="40" w:after="40" w:line="240" w:lineRule="auto"/>
            </w:pPr>
            <w:r>
              <w:t xml:space="preserve">No</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Requested Dataset</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Custodian Agency</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CBA Dimension</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Received Content (01.10.2026)</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Fulfillment (%)</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Status</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Remaining Deficits / Gaps</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CBA Solution &amp; Substitution Strategy</w:t>
              <w:rPr>
                <w:b/>
                <w:bCs/>
                <w:rFonts w:ascii="Times New Roman" w:hAnsi="Times New Roman" w:eastAsia="Times New Roman" w:cs="Times New Roman"/>
                <w:color w:val="000000"/>
                <w:sz w:val="19"/>
                <w:szCs w:val="19"/>
              </w:rPr>
            </w:r>
          </w:p>
        </w:tc>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w:t>
            </w:r>
          </w:p>
        </w:tc>
        <w:tc>
          <w:tcPr/>
          <w:p>
            <w:pPr>
              <w:pStyle w:val="Compact"/>
              <w:spacing w:before="40" w:after="40" w:line="240" w:lineRule="auto"/>
            </w:pPr>
            <w:r>
              <w:t xml:space="preserve">Microzonation and geotechnical soil parameters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İBB; DEÜ DAUM; MTA</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Hazard</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alluvial basin proxy, TBDY 2018 soil class proxy, TUREF TM27</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50%</w:t>
            </w:r>
          </w:p>
        </w:tc>
        <w:tc>
          <w:tcPr/>
          <w:p>
            <w:pPr>
              <w:pStyle w:val="Compact"/>
              <w:jc w:val="center"/>
              <w:spacing w:before="40" w:after="40" w:line="240" w:lineRule="auto"/>
            </w:pPr>
            <w:r>
              <w:t xml:space="preserve">Partial (B)</w:t>
              <w:rPr>
                <w:rFonts w:ascii="Times New Roman" w:hAnsi="Times New Roman" w:eastAsia="Times New Roman" w:cs="Times New Roman"/>
                <w:color w:val="000000"/>
                <w:sz w:val="19"/>
                <w:szCs w:val="19"/>
              </w:rPr>
            </w:r>
          </w:p>
        </w:tc>
        <w:tc>
          <w:tcPr/>
          <w:p>
            <w:pPr>
              <w:pStyle w:val="Compact"/>
              <w:spacing w:before="40" w:after="40" w:line="240" w:lineRule="auto"/>
            </w:pPr>
            <w:r>
              <w:t xml:space="preserve">Full borehole logs (SPT/CPT) and DEÜ DAUM high-resolution microzonation raster sheets</w:t>
              <w:rPr>
                <w:rFonts w:ascii="Times New Roman" w:hAnsi="Times New Roman" w:eastAsia="Times New Roman" w:cs="Times New Roman"/>
                <w:color w:val="000000"/>
                <w:sz w:val="19"/>
                <w:szCs w:val="19"/>
              </w:rPr>
            </w:r>
          </w:p>
        </w:tc>
        <w:tc>
          <w:tcPr/>
          <w:p>
            <w:pPr>
              <w:pStyle w:val="Compact"/>
              <w:spacing w:before="40" w:after="40" w:line="240" w:lineRule="auto"/>
            </w:pPr>
            <w:r>
              <w:t xml:space="preserve">Regional AFAD proxy applied; calibrated for Tier-B pilot districts (Bayraklı/Konak) using İBB geophysics and Hasan Sözbilir synthesis.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w:t>
            </w:r>
          </w:p>
        </w:tc>
        <w:tc>
          <w:tcPr/>
          <w:p>
            <w:pPr>
              <w:pStyle w:val="Compact"/>
              <w:spacing w:before="40" w:after="40" w:line="240" w:lineRule="auto"/>
            </w:pPr>
            <w:r>
              <w:t xml:space="preserve">Active fault lines and seismic setback buffers</w:t>
              <w:rPr>
                <w:rFonts w:ascii="Times New Roman" w:hAnsi="Times New Roman" w:eastAsia="Times New Roman" w:cs="Times New Roman"/>
                <w:color w:val="000000"/>
                <w:sz w:val="19"/>
                <w:szCs w:val="19"/>
              </w:rPr>
            </w:r>
          </w:p>
        </w:tc>
        <w:tc>
          <w:tcPr/>
          <w:p>
            <w:pPr>
              <w:pStyle w:val="Compact"/>
              <w:spacing w:before="40" w:after="40" w:line="240" w:lineRule="auto"/>
            </w:pPr>
            <w:r>
              <w:t xml:space="preserve">MTA; AFAD; İBB</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Hazard</w:t>
              <w:rPr>
                <w:rFonts w:ascii="Times New Roman" w:hAnsi="Times New Roman" w:eastAsia="Times New Roman" w:cs="Times New Roman"/>
                <w:color w:val="000000"/>
                <w:sz w:val="19"/>
                <w:szCs w:val="19"/>
              </w:rPr>
            </w:r>
          </w:p>
        </w:tc>
        <w:tc>
          <w:tcPr/>
          <w:p>
            <w:pPr>
              <w:pStyle w:val="Compact"/>
              <w:spacing w:before="40" w:after="40" w:line="240" w:lineRule="auto"/>
            </w:pPr>
            <w:r>
              <w:t xml:space="preserve">MTA 2026 Active Fault Map of Türkiye (TDFH 2026), AFAD PGA 475Y grids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100%</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None. 1,102 fault traces and buffer zones fully ingested.</w:t>
              <w:rPr>
                <w:rFonts w:ascii="Times New Roman" w:hAnsi="Times New Roman" w:eastAsia="Times New Roman" w:cs="Times New Roman"/>
                <w:color w:val="000000"/>
                <w:sz w:val="19"/>
                <w:szCs w:val="19"/>
              </w:rPr>
            </w:r>
          </w:p>
        </w:tc>
        <w:tc>
          <w:tcPr/>
          <w:p>
            <w:pPr>
              <w:pStyle w:val="Compact"/>
              <w:spacing w:before="40" w:after="40" w:line="240" w:lineRule="auto"/>
            </w:pPr>
            <w:r>
              <w:t xml:space="preserve">Direct input to probabilistic seismic hazard assessment (PSHA) and annual exceedance probability (AEP).</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3</w:t>
            </w:r>
          </w:p>
        </w:tc>
        <w:tc>
          <w:tcPr/>
          <w:p>
            <w:pPr>
              <w:pStyle w:val="Compact"/>
              <w:spacing w:before="40" w:after="40" w:line="240" w:lineRule="auto"/>
            </w:pPr>
            <w:r>
              <w:t xml:space="preserve">Building stock and structural taxonomy</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IMO; District Mun.</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Vulnerability</w:t>
              <w:rPr>
                <w:rFonts w:ascii="Times New Roman" w:hAnsi="Times New Roman" w:eastAsia="Times New Roman" w:cs="Times New Roman"/>
                <w:color w:val="000000"/>
                <w:sz w:val="19"/>
                <w:szCs w:val="19"/>
              </w:rPr>
            </w:r>
          </w:p>
        </w:tc>
        <w:tc>
          <w:tcPr/>
          <w:p>
            <w:pPr>
              <w:pStyle w:val="Compact"/>
              <w:spacing w:before="40" w:after="40" w:line="240" w:lineRule="auto"/>
            </w:pPr>
            <w:r>
              <w:t xml:space="preserve">AYDES / MAKS building tables, TÜİK census stock summaries, DASK insurance rates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65%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Building-by-building structural typology across all 1,317 neighbourhoods</w:t>
              <w:rPr>
                <w:rFonts w:ascii="Times New Roman" w:hAnsi="Times New Roman" w:eastAsia="Times New Roman" w:cs="Times New Roman"/>
                <w:color w:val="000000"/>
                <w:sz w:val="19"/>
                <w:szCs w:val="19"/>
              </w:rPr>
            </w:r>
          </w:p>
        </w:tc>
        <w:tc>
          <w:tcPr/>
          <w:p>
            <w:pPr>
              <w:pStyle w:val="Compact"/>
              <w:spacing w:before="40" w:after="40" w:line="240" w:lineRule="auto"/>
            </w:pPr>
            <w:r>
              <w:t xml:space="preserve">F-BWM neighborhood exposure synthesis citywide; Tier-B analytical fragility curves for Bayraklı and Bornova.</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4</w:t>
            </w:r>
          </w:p>
        </w:tc>
        <w:tc>
          <w:tcPr/>
          <w:p>
            <w:pPr>
              <w:pStyle w:val="Compact"/>
              <w:spacing w:before="40" w:after="40" w:line="240" w:lineRule="auto"/>
            </w:pPr>
            <w:r>
              <w:t xml:space="preserve">October 30, 2020 Samos–İzmir Damage Registry</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MoEUCC; İBB</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Vulnerability &amp; Damage</w:t>
              <w:rPr>
                <w:rFonts w:ascii="Times New Roman" w:hAnsi="Times New Roman" w:eastAsia="Times New Roman" w:cs="Times New Roman"/>
                <w:color w:val="000000"/>
                <w:sz w:val="19"/>
                <w:szCs w:val="19"/>
              </w:rPr>
            </w:r>
          </w:p>
        </w:tc>
        <w:tc>
          <w:tcPr/>
          <w:p>
            <w:pPr>
              <w:pStyle w:val="Compact"/>
              <w:spacing w:before="40" w:after="40" w:line="240" w:lineRule="auto"/>
            </w:pPr>
            <w:r>
              <w:t xml:space="preserve">MoEUCC / AFAD AYDES 215,603 building damage assessment registry</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100%</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None. 1,710 geocoded severe and moderate damage points integrated.</w:t>
              <w:rPr>
                <w:rFonts w:ascii="Times New Roman" w:hAnsi="Times New Roman" w:eastAsia="Times New Roman" w:cs="Times New Roman"/>
                <w:color w:val="000000"/>
                <w:sz w:val="19"/>
                <w:szCs w:val="19"/>
              </w:rPr>
            </w:r>
          </w:p>
        </w:tc>
        <w:tc>
          <w:tcPr/>
          <w:p>
            <w:pPr>
              <w:pStyle w:val="Compact"/>
              <w:spacing w:before="40" w:after="40" w:line="240" w:lineRule="auto"/>
            </w:pPr>
            <w:r>
              <w:t xml:space="preserve">Empirical ground-truthing anchor for structural vulnerability curves and avoided damage estimation.</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5</w:t>
            </w:r>
          </w:p>
        </w:tc>
        <w:tc>
          <w:tcPr/>
          <w:p>
            <w:pPr>
              <w:pStyle w:val="Compact"/>
              <w:spacing w:before="40" w:after="40" w:line="240" w:lineRule="auto"/>
            </w:pPr>
            <w:r>
              <w:t xml:space="preserve">Administrative neighbourhood/district boundaries &amp; UAVT</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District Mun.; TÜİK</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w:t>
              <w:rPr>
                <w:rFonts w:ascii="Times New Roman" w:hAnsi="Times New Roman" w:eastAsia="Times New Roman" w:cs="Times New Roman"/>
                <w:color w:val="000000"/>
                <w:sz w:val="19"/>
                <w:szCs w:val="19"/>
              </w:rPr>
            </w:r>
          </w:p>
        </w:tc>
        <w:tc>
          <w:tcPr/>
          <w:p>
            <w:pPr>
              <w:pStyle w:val="Compact"/>
              <w:spacing w:before="40" w:after="40" w:line="240" w:lineRule="auto"/>
            </w:pPr>
            <w:r>
              <w:t xml:space="preserve">TÜİK &amp; İBB 30 districts, 1,317 neighbourhoods with official UAVT codes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100%</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None.</w:t>
              <w:rPr>
                <w:rFonts w:ascii="Times New Roman" w:hAnsi="Times New Roman" w:eastAsia="Times New Roman" w:cs="Times New Roman"/>
                <w:color w:val="000000"/>
                <w:sz w:val="19"/>
                <w:szCs w:val="19"/>
              </w:rPr>
            </w:r>
          </w:p>
        </w:tc>
        <w:tc>
          <w:tcPr/>
          <w:p>
            <w:pPr>
              <w:pStyle w:val="Compact"/>
              <w:spacing w:before="40" w:after="40" w:line="240" w:lineRule="auto"/>
            </w:pPr>
            <w:r>
              <w:t xml:space="preserve">Primary geographic baseline for spatial CBA benefit disaggregation and population exposure.</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6</w:t>
            </w:r>
          </w:p>
        </w:tc>
        <w:tc>
          <w:tcPr/>
          <w:p>
            <w:pPr>
              <w:pStyle w:val="Compact"/>
              <w:spacing w:before="40" w:after="40" w:line="240" w:lineRule="auto"/>
            </w:pPr>
            <w:r>
              <w:t xml:space="preserve">Population, demographics and social vulnerability</w:t>
              <w:rPr>
                <w:rFonts w:ascii="Times New Roman" w:hAnsi="Times New Roman" w:eastAsia="Times New Roman" w:cs="Times New Roman"/>
                <w:color w:val="000000"/>
                <w:sz w:val="19"/>
                <w:szCs w:val="19"/>
              </w:rPr>
            </w:r>
          </w:p>
        </w:tc>
        <w:tc>
          <w:tcPr/>
          <w:p>
            <w:pPr>
              <w:pStyle w:val="Compact"/>
              <w:spacing w:before="40" w:after="40" w:line="240" w:lineRule="auto"/>
            </w:pPr>
            <w:r>
              <w:t xml:space="preserve">TÜİK; İBB; AFAD</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Benefit</w:t>
              <w:rPr>
                <w:rFonts w:ascii="Times New Roman" w:hAnsi="Times New Roman" w:eastAsia="Times New Roman" w:cs="Times New Roman"/>
                <w:color w:val="000000"/>
                <w:sz w:val="19"/>
                <w:szCs w:val="19"/>
              </w:rPr>
            </w:r>
          </w:p>
        </w:tc>
        <w:tc>
          <w:tcPr/>
          <w:p>
            <w:pPr>
              <w:pStyle w:val="Compact"/>
              <w:spacing w:before="40" w:after="40" w:line="240" w:lineRule="auto"/>
            </w:pPr>
            <w:r>
              <w:t xml:space="preserve">TÜİK ADNKS 2023-2025 neighbourhood populations, age, gender, dependency ratios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95%</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Micro-survey household net income distribution</w:t>
              <w:rPr>
                <w:rFonts w:ascii="Times New Roman" w:hAnsi="Times New Roman" w:eastAsia="Times New Roman" w:cs="Times New Roman"/>
                <w:color w:val="000000"/>
                <w:sz w:val="19"/>
                <w:szCs w:val="19"/>
              </w:rPr>
            </w:r>
          </w:p>
        </w:tc>
        <w:tc>
          <w:tcPr/>
          <w:p>
            <w:pPr>
              <w:pStyle w:val="Compact"/>
              <w:spacing w:before="40" w:after="40" w:line="240" w:lineRule="auto"/>
            </w:pPr>
            <w:r>
              <w:t xml:space="preserve">Fatality risk modeling, emergency shelter demand, and Triple Dividend social inclusion appraisal.</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7</w:t>
            </w:r>
          </w:p>
        </w:tc>
        <w:tc>
          <w:tcPr/>
          <w:p>
            <w:pPr>
              <w:pStyle w:val="Compact"/>
              <w:spacing w:before="40" w:after="40" w:line="240" w:lineRule="auto"/>
            </w:pPr>
            <w:r>
              <w:t xml:space="preserve">Road centrelines, widths and emergency access</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Transport; KGM</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Vulnerability</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highway networks and OSM topological road graph (widths, lanes, speed)</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Real-time traffic flow sensor feeds and updated origin-destination (O-D) matrix</w:t>
              <w:rPr>
                <w:rFonts w:ascii="Times New Roman" w:hAnsi="Times New Roman" w:eastAsia="Times New Roman" w:cs="Times New Roman"/>
                <w:color w:val="000000"/>
                <w:sz w:val="19"/>
                <w:szCs w:val="19"/>
              </w:rPr>
            </w:r>
          </w:p>
        </w:tc>
        <w:tc>
          <w:tcPr/>
          <w:p>
            <w:pPr>
              <w:pStyle w:val="Compact"/>
              <w:spacing w:before="40" w:after="40" w:line="240" w:lineRule="auto"/>
            </w:pPr>
            <w:r>
              <w:t xml:space="preserve">Travel time savings and detour cost modeling for S-01 Arterial Corridor Retrofitting.</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w:t>
            </w:r>
          </w:p>
        </w:tc>
        <w:tc>
          <w:tcPr/>
          <w:p>
            <w:pPr>
              <w:pStyle w:val="Compact"/>
              <w:spacing w:before="40" w:after="40" w:line="240" w:lineRule="auto"/>
            </w:pPr>
            <w:r>
              <w:t xml:space="preserve">Bridges, viaducts, tunnels and engineering structures</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KGM; MoTI</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Vulnerability &amp; Cost</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2nd Region 115 interchanges, 6 tunnels, and 983 bridges/viaducts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90%</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Structural as-built seismic drawings for individual bridge decks</w:t>
              <w:rPr>
                <w:rFonts w:ascii="Times New Roman" w:hAnsi="Times New Roman" w:eastAsia="Times New Roman" w:cs="Times New Roman"/>
                <w:color w:val="000000"/>
                <w:sz w:val="19"/>
                <w:szCs w:val="19"/>
              </w:rPr>
            </w:r>
          </w:p>
        </w:tc>
        <w:tc>
          <w:tcPr/>
          <w:p>
            <w:pPr>
              <w:pStyle w:val="Compact"/>
              <w:spacing w:before="40" w:after="40" w:line="240" w:lineRule="auto"/>
            </w:pPr>
            <w:r>
              <w:t xml:space="preserve">Capital cost modeling for S-01 bridge retrofitting (35M USD) and avoided isolation appraisal.</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9</w:t>
            </w:r>
          </w:p>
        </w:tc>
        <w:tc>
          <w:tcPr/>
          <w:p>
            <w:pPr>
              <w:pStyle w:val="Compact"/>
              <w:spacing w:before="40" w:after="40" w:line="240" w:lineRule="auto"/>
            </w:pPr>
            <w:r>
              <w:t xml:space="preserve">Public transit, rail lifelines, ports and airports</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Metro; TCDD; DHMİ</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Benefit</w:t>
              <w:rPr>
                <w:rFonts w:ascii="Times New Roman" w:hAnsi="Times New Roman" w:eastAsia="Times New Roman" w:cs="Times New Roman"/>
                <w:color w:val="000000"/>
                <w:sz w:val="19"/>
                <w:szCs w:val="19"/>
              </w:rPr>
            </w:r>
          </w:p>
        </w:tc>
        <w:tc>
          <w:tcPr/>
          <w:p>
            <w:pPr>
              <w:pStyle w:val="Compact"/>
              <w:spacing w:before="40" w:after="40" w:line="240" w:lineRule="auto"/>
            </w:pPr>
            <w:r>
              <w:t xml:space="preserve">4 Airports, 6 Seaports, TCDD &amp; İZBAN rail alignments and terminal nodes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Daily TEU container throughput disruption cost schedules per individual terminal</w:t>
              <w:rPr>
                <w:rFonts w:ascii="Times New Roman" w:hAnsi="Times New Roman" w:eastAsia="Times New Roman" w:cs="Times New Roman"/>
                <w:color w:val="000000"/>
                <w:sz w:val="19"/>
                <w:szCs w:val="19"/>
              </w:rPr>
            </w:r>
          </w:p>
        </w:tc>
        <w:tc>
          <w:tcPr/>
          <w:p>
            <w:pPr>
              <w:pStyle w:val="Compact"/>
              <w:spacing w:before="40" w:after="40" w:line="240" w:lineRule="auto"/>
            </w:pPr>
            <w:r>
              <w:t xml:space="preserve">Regional GDP value-added loss modeling in port/rail transport disruption scenarios.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10</w:t>
            </w:r>
          </w:p>
        </w:tc>
        <w:tc>
          <w:tcPr/>
          <w:p>
            <w:pPr>
              <w:pStyle w:val="Compact"/>
              <w:spacing w:before="40" w:after="40" w:line="240" w:lineRule="auto"/>
            </w:pPr>
            <w:r>
              <w:t xml:space="preserve">Water transmission, sewer networks and dams</w:t>
              <w:rPr>
                <w:rFonts w:ascii="Times New Roman" w:hAnsi="Times New Roman" w:eastAsia="Times New Roman" w:cs="Times New Roman"/>
                <w:color w:val="000000"/>
                <w:sz w:val="19"/>
                <w:szCs w:val="19"/>
              </w:rPr>
            </w:r>
          </w:p>
        </w:tc>
        <w:tc>
          <w:tcPr/>
          <w:p>
            <w:pPr>
              <w:pStyle w:val="Compact"/>
              <w:spacing w:before="40" w:after="40" w:line="240" w:lineRule="auto"/>
            </w:pPr>
            <w:r>
              <w:t xml:space="preserve">İZSU; DSİ 2nd Region</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Vulnerability &amp; Cost</w:t>
              <w:rPr>
                <w:rFonts w:ascii="Times New Roman" w:hAnsi="Times New Roman" w:eastAsia="Times New Roman" w:cs="Times New Roman"/>
                <w:color w:val="000000"/>
                <w:sz w:val="19"/>
                <w:szCs w:val="19"/>
              </w:rPr>
            </w:r>
          </w:p>
        </w:tc>
        <w:tc>
          <w:tcPr/>
          <w:p>
            <w:pPr>
              <w:pStyle w:val="Compact"/>
              <w:spacing w:before="40" w:after="40" w:line="240" w:lineRule="auto"/>
            </w:pPr>
            <w:r>
              <w:t xml:space="preserve">İZSU 29,464 steel pipe segments (1,450 km), DSİ 8 dams, 1,001 flood works, 25 gauges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70%</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Tertiary local polyethylene/ductile distribution pipes and sewer GIS lines</w:t>
              <w:rPr>
                <w:rFonts w:ascii="Times New Roman" w:hAnsi="Times New Roman" w:eastAsia="Times New Roman" w:cs="Times New Roman"/>
                <w:color w:val="000000"/>
                <w:sz w:val="19"/>
                <w:szCs w:val="19"/>
              </w:rPr>
            </w:r>
          </w:p>
        </w:tc>
        <w:tc>
          <w:tcPr/>
          <w:p>
            <w:pPr>
              <w:pStyle w:val="Compact"/>
              <w:spacing w:before="40" w:after="40" w:line="240" w:lineRule="auto"/>
            </w:pPr>
            <w:r>
              <w:t xml:space="preserve">Avoided water outage valuation (m³ basis) for S-03 Autonomous Wells and S-04 Flood Defense.</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11</w:t>
            </w:r>
          </w:p>
        </w:tc>
        <w:tc>
          <w:tcPr/>
          <w:p>
            <w:pPr>
              <w:pStyle w:val="Compact"/>
              <w:spacing w:before="40" w:after="40" w:line="240" w:lineRule="auto"/>
            </w:pPr>
            <w:r>
              <w:t xml:space="preserve">High-voltage power transmission and substations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3rd Region; GDZ</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Vulnerability &amp; Benefit</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109 substations, 128 HV transmission lines (EİH), 170 cable segments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75%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GDZ medium/low-voltage distribution transformers and neighbourhood street rings</w:t>
              <w:rPr>
                <w:rFonts w:ascii="Times New Roman" w:hAnsi="Times New Roman" w:eastAsia="Times New Roman" w:cs="Times New Roman"/>
                <w:color w:val="000000"/>
                <w:sz w:val="19"/>
                <w:szCs w:val="19"/>
              </w:rPr>
            </w:r>
          </w:p>
        </w:tc>
        <w:tc>
          <w:tcPr/>
          <w:p>
            <w:pPr>
              <w:pStyle w:val="Compact"/>
              <w:spacing w:before="40" w:after="40" w:line="240" w:lineRule="auto"/>
            </w:pPr>
            <w:r>
              <w:t xml:space="preserve">S-03 Microgrid evaluation: avoided unserved energy (MWh) and Value of Lost Load (VoLL).</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12</w:t>
            </w:r>
          </w:p>
        </w:tc>
        <w:tc>
          <w:tcPr/>
          <w:p>
            <w:pPr>
              <w:pStyle w:val="Compact"/>
              <w:spacing w:before="40" w:after="40" w:line="240" w:lineRule="auto"/>
            </w:pPr>
            <w:r>
              <w:t xml:space="preserve">Natural gas transmission pipeline network</w:t>
              <w:rPr>
                <w:rFonts w:ascii="Times New Roman" w:hAnsi="Times New Roman" w:eastAsia="Times New Roman" w:cs="Times New Roman"/>
                <w:color w:val="000000"/>
                <w:sz w:val="19"/>
                <w:szCs w:val="19"/>
              </w:rPr>
            </w:r>
          </w:p>
        </w:tc>
        <w:tc>
          <w:tcPr/>
          <w:p>
            <w:pPr>
              <w:pStyle w:val="Compact"/>
              <w:spacing w:before="40" w:after="40" w:line="240" w:lineRule="auto"/>
            </w:pPr>
            <w:r>
              <w:t xml:space="preserve">BOTAŞ; İzmirgaz</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Hazard &amp; NaTech</w:t>
              <w:rPr>
                <w:rFonts w:ascii="Times New Roman" w:hAnsi="Times New Roman" w:eastAsia="Times New Roman" w:cs="Times New Roman"/>
                <w:color w:val="000000"/>
                <w:sz w:val="19"/>
                <w:szCs w:val="19"/>
              </w:rPr>
            </w:r>
          </w:p>
        </w:tc>
        <w:tc>
          <w:tcPr/>
          <w:p>
            <w:pPr>
              <w:pStyle w:val="Compact"/>
              <w:spacing w:before="40" w:after="40" w:line="240" w:lineRule="auto"/>
            </w:pPr>
            <w:r>
              <w:t xml:space="preserve">BOTAŞ 28 high-pressure steel natural gas transmission trunkline segments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50%</w:t>
            </w:r>
          </w:p>
        </w:tc>
        <w:tc>
          <w:tcPr/>
          <w:p>
            <w:pPr>
              <w:pStyle w:val="Compact"/>
              <w:jc w:val="center"/>
              <w:spacing w:before="40" w:after="40" w:line="240" w:lineRule="auto"/>
            </w:pPr>
            <w:r>
              <w:t xml:space="preserve">Partial (B)</w:t>
              <w:rPr>
                <w:rFonts w:ascii="Times New Roman" w:hAnsi="Times New Roman" w:eastAsia="Times New Roman" w:cs="Times New Roman"/>
                <w:color w:val="000000"/>
                <w:sz w:val="19"/>
                <w:szCs w:val="19"/>
              </w:rPr>
            </w:r>
          </w:p>
        </w:tc>
        <w:tc>
          <w:tcPr/>
          <w:p>
            <w:pPr>
              <w:pStyle w:val="Compact"/>
              <w:spacing w:before="40" w:after="40" w:line="240" w:lineRule="auto"/>
            </w:pPr>
            <w:r>
              <w:t xml:space="preserve">İzmirgaz medium/low-pressure city network and automated earthquake shutoff valves</w:t>
              <w:rPr>
                <w:rFonts w:ascii="Times New Roman" w:hAnsi="Times New Roman" w:eastAsia="Times New Roman" w:cs="Times New Roman"/>
                <w:color w:val="000000"/>
                <w:sz w:val="19"/>
                <w:szCs w:val="19"/>
              </w:rPr>
            </w:r>
          </w:p>
        </w:tc>
        <w:tc>
          <w:tcPr/>
          <w:p>
            <w:pPr>
              <w:pStyle w:val="Compact"/>
              <w:spacing w:before="40" w:after="40" w:line="240" w:lineRule="auto"/>
            </w:pPr>
            <w:r>
              <w:t xml:space="preserve">Post-earthquake secondary fire and rupture risk appraisal within NaTech screening.</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13</w:t>
            </w:r>
          </w:p>
        </w:tc>
        <w:tc>
          <w:tcPr/>
          <w:p>
            <w:pPr>
              <w:pStyle w:val="Compact"/>
              <w:spacing w:before="40" w:after="40" w:line="240" w:lineRule="auto"/>
            </w:pPr>
            <w:r>
              <w:t xml:space="preserve">Telecommunications and emergency ICT nodes</w:t>
              <w:rPr>
                <w:rFonts w:ascii="Times New Roman" w:hAnsi="Times New Roman" w:eastAsia="Times New Roman" w:cs="Times New Roman"/>
                <w:color w:val="000000"/>
                <w:sz w:val="19"/>
                <w:szCs w:val="19"/>
              </w:rPr>
            </w:r>
          </w:p>
        </w:tc>
        <w:tc>
          <w:tcPr/>
          <w:p>
            <w:pPr>
              <w:pStyle w:val="Compact"/>
              <w:spacing w:before="40" w:after="40" w:line="240" w:lineRule="auto"/>
            </w:pPr>
            <w:r>
              <w:t xml:space="preserve">BTK; Operators; AFAD</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Vulnerability &amp; Operations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AYDES communications facilities and public radio masts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40%</w:t>
            </w:r>
          </w:p>
        </w:tc>
        <w:tc>
          <w:tcPr/>
          <w:p>
            <w:pPr>
              <w:pStyle w:val="Compact"/>
              <w:jc w:val="center"/>
              <w:spacing w:before="40" w:after="40" w:line="240" w:lineRule="auto"/>
            </w:pPr>
            <w:r>
              <w:t xml:space="preserve">Partial (B-)</w:t>
              <w:rPr>
                <w:rFonts w:ascii="Times New Roman" w:hAnsi="Times New Roman" w:eastAsia="Times New Roman" w:cs="Times New Roman"/>
                <w:color w:val="000000"/>
                <w:sz w:val="19"/>
                <w:szCs w:val="19"/>
              </w:rPr>
            </w:r>
          </w:p>
        </w:tc>
        <w:tc>
          <w:tcPr/>
          <w:p>
            <w:pPr>
              <w:pStyle w:val="Compact"/>
              <w:spacing w:before="40" w:after="40" w:line="240" w:lineRule="auto"/>
            </w:pPr>
            <w:r>
              <w:t xml:space="preserve">Cellular base station masts and operator fiber backbones (Turkcell, Vodafone, TT)</w:t>
              <w:rPr>
                <w:rFonts w:ascii="Times New Roman" w:hAnsi="Times New Roman" w:eastAsia="Times New Roman" w:cs="Times New Roman"/>
                <w:color w:val="000000"/>
                <w:sz w:val="19"/>
                <w:szCs w:val="19"/>
              </w:rPr>
            </w:r>
          </w:p>
        </w:tc>
        <w:tc>
          <w:tcPr/>
          <w:p>
            <w:pPr>
              <w:pStyle w:val="Compact"/>
              <w:spacing w:before="40" w:after="40" w:line="240" w:lineRule="auto"/>
            </w:pPr>
            <w:r>
              <w:t xml:space="preserve">Coverage reliability benchmarks for S-05 Community Early Warning and Cell Broadcast alert.</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14</w:t>
            </w:r>
          </w:p>
        </w:tc>
        <w:tc>
          <w:tcPr/>
          <w:p>
            <w:pPr>
              <w:pStyle w:val="Compact"/>
              <w:spacing w:before="40" w:after="40" w:line="240" w:lineRule="auto"/>
            </w:pPr>
            <w:r>
              <w:t xml:space="preserve">Designated emergency assembly areas and shelter sites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İBB</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Benefit</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&amp; İBB 2,428 official assembly polygons, 71 regional shelter hubs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100%</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None. Metropolitan capacity of 6,217,537 persons fully mapped.</w:t>
              <w:rPr>
                <w:rFonts w:ascii="Times New Roman" w:hAnsi="Times New Roman" w:eastAsia="Times New Roman" w:cs="Times New Roman"/>
                <w:color w:val="000000"/>
                <w:sz w:val="19"/>
                <w:szCs w:val="19"/>
              </w:rPr>
            </w:r>
          </w:p>
        </w:tc>
        <w:tc>
          <w:tcPr/>
          <w:p>
            <w:pPr>
              <w:pStyle w:val="Compact"/>
              <w:spacing w:before="40" w:after="40" w:line="240" w:lineRule="auto"/>
            </w:pPr>
            <w:r>
              <w:t xml:space="preserve">S-03 Autonomous Shelter Infrastructure (30M USD): per-capita sheltering duration and avoided post-disaster illness.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15</w:t>
            </w:r>
          </w:p>
        </w:tc>
        <w:tc>
          <w:tcPr/>
          <w:p>
            <w:pPr>
              <w:pStyle w:val="Compact"/>
              <w:spacing w:before="40" w:after="40" w:line="240" w:lineRule="auto"/>
            </w:pPr>
            <w:r>
              <w:t xml:space="preserve">Local emergency response stations (Fire, 112 EMS, SAR)</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İBB Fire; 112</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Operations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129 EMS 112 Stations, 11 Fire Headstations, 13 Disaster Coordination Centers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95%</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Local civil volunteer NGO supply depots</w:t>
              <w:rPr>
                <w:rFonts w:ascii="Times New Roman" w:hAnsi="Times New Roman" w:eastAsia="Times New Roman" w:cs="Times New Roman"/>
                <w:color w:val="000000"/>
                <w:sz w:val="19"/>
                <w:szCs w:val="19"/>
              </w:rPr>
            </w:r>
          </w:p>
        </w:tc>
        <w:tc>
          <w:tcPr/>
          <w:p>
            <w:pPr>
              <w:pStyle w:val="Compact"/>
              <w:spacing w:before="40" w:after="40" w:line="240" w:lineRule="auto"/>
            </w:pPr>
            <w:r>
              <w:t xml:space="preserve">Avoided rescue dispatch latency and Golden 72 Hours survival multiplier.</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16</w:t>
            </w:r>
          </w:p>
        </w:tc>
        <w:tc>
          <w:tcPr/>
          <w:p>
            <w:pPr>
              <w:pStyle w:val="Compact"/>
              <w:spacing w:before="40" w:after="40" w:line="240" w:lineRule="auto"/>
            </w:pPr>
            <w:r>
              <w:t xml:space="preserve">Hospitals, schools and critical public facilities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MoH; MoNE; İBB; AFAD</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Vulnerability</w:t>
              <w:rPr>
                <w:rFonts w:ascii="Times New Roman" w:hAnsi="Times New Roman" w:eastAsia="Times New Roman" w:cs="Times New Roman"/>
                <w:color w:val="000000"/>
                <w:sz w:val="19"/>
                <w:szCs w:val="19"/>
              </w:rPr>
            </w:r>
          </w:p>
        </w:tc>
        <w:tc>
          <w:tcPr/>
          <w:p>
            <w:pPr>
              <w:pStyle w:val="Compact"/>
              <w:spacing w:before="40" w:after="40" w:line="240" w:lineRule="auto"/>
            </w:pPr>
            <w:r>
              <w:t xml:space="preserve">66 Hospitals (City, University, State, Private), 497 ASMs, public buildings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75%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Ministry of National Education building-by-building school structural registry</w:t>
              <w:rPr>
                <w:rFonts w:ascii="Times New Roman" w:hAnsi="Times New Roman" w:eastAsia="Times New Roman" w:cs="Times New Roman"/>
                <w:color w:val="000000"/>
                <w:sz w:val="19"/>
                <w:szCs w:val="19"/>
              </w:rPr>
            </w:r>
          </w:p>
        </w:tc>
        <w:tc>
          <w:tcPr/>
          <w:p>
            <w:pPr>
              <w:pStyle w:val="Compact"/>
              <w:spacing w:before="40" w:after="40" w:line="240" w:lineRule="auto"/>
            </w:pPr>
            <w:r>
              <w:t xml:space="preserve">Preserved medical surge capacity: avoided excess mortality and morbidity economic valuation.</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17</w:t>
            </w:r>
          </w:p>
        </w:tc>
        <w:tc>
          <w:tcPr/>
          <w:p>
            <w:pPr>
              <w:pStyle w:val="Compact"/>
              <w:spacing w:before="40" w:after="40" w:line="240" w:lineRule="auto"/>
            </w:pPr>
            <w:r>
              <w:t xml:space="preserve">Hazardous industrial installations and NaTech assets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MoEUCC; MoIT</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Hazard &amp; NaTech</w:t>
              <w:rPr>
                <w:rFonts w:ascii="Times New Roman" w:hAnsi="Times New Roman" w:eastAsia="Times New Roman" w:cs="Times New Roman"/>
                <w:color w:val="000000"/>
                <w:sz w:val="19"/>
                <w:szCs w:val="19"/>
              </w:rPr>
            </w:r>
          </w:p>
        </w:tc>
        <w:tc>
          <w:tcPr/>
          <w:p>
            <w:pPr>
              <w:pStyle w:val="Compact"/>
              <w:spacing w:before="40" w:after="40" w:line="240" w:lineRule="auto"/>
            </w:pPr>
            <w:r>
              <w:t xml:space="preserve">8 Top-Tier SEVESO facilities (TÜPRAŞ, PETKİM, STAR, EGEGAZ LNG), IZ zones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80%</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On-site piping blueprints and quantitative risk assessment (QRA) tank dossiers</w:t>
              <w:rPr>
                <w:rFonts w:ascii="Times New Roman" w:hAnsi="Times New Roman" w:eastAsia="Times New Roman" w:cs="Times New Roman"/>
                <w:color w:val="000000"/>
                <w:sz w:val="19"/>
                <w:szCs w:val="19"/>
              </w:rPr>
            </w:r>
          </w:p>
        </w:tc>
        <w:tc>
          <w:tcPr/>
          <w:p>
            <w:pPr>
              <w:pStyle w:val="Compact"/>
              <w:spacing w:before="40" w:after="40" w:line="240" w:lineRule="auto"/>
            </w:pPr>
            <w:r>
              <w:t xml:space="preserve">S-06 Industrial Safety: avoided industrial fire spread and environmental cleanup cost savings.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18</w:t>
            </w:r>
          </w:p>
        </w:tc>
        <w:tc>
          <w:tcPr/>
          <w:p>
            <w:pPr>
              <w:pStyle w:val="Compact"/>
              <w:spacing w:before="40" w:after="40" w:line="240" w:lineRule="auto"/>
            </w:pPr>
            <w:r>
              <w:t xml:space="preserve">Meteorological extremes, floods, and fire incidents</w:t>
              <w:rPr>
                <w:rFonts w:ascii="Times New Roman" w:hAnsi="Times New Roman" w:eastAsia="Times New Roman" w:cs="Times New Roman"/>
                <w:color w:val="000000"/>
                <w:sz w:val="19"/>
                <w:szCs w:val="19"/>
              </w:rPr>
            </w:r>
          </w:p>
        </w:tc>
        <w:tc>
          <w:tcPr/>
          <w:p>
            <w:pPr>
              <w:pStyle w:val="Compact"/>
              <w:spacing w:before="40" w:after="40" w:line="240" w:lineRule="auto"/>
            </w:pPr>
            <w:r>
              <w:t xml:space="preserve">MGM; AFAD AYDES; Fire Dept.</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Hazard &amp; Damage</w:t>
              <w:rPr>
                <w:rFonts w:ascii="Times New Roman" w:hAnsi="Times New Roman" w:eastAsia="Times New Roman" w:cs="Times New Roman"/>
                <w:color w:val="000000"/>
                <w:sz w:val="19"/>
                <w:szCs w:val="19"/>
              </w:rPr>
            </w:r>
          </w:p>
        </w:tc>
        <w:tc>
          <w:tcPr/>
          <w:p>
            <w:pPr>
              <w:pStyle w:val="Compact"/>
              <w:spacing w:before="40" w:after="40" w:line="240" w:lineRule="auto"/>
            </w:pPr>
            <w:r>
              <w:t xml:space="preserve">MGM 12 stations 1970-2026 series, 4,721 fire incidents, 25 DSİ AGİ/TEUS gauges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90%</w:t>
            </w:r>
          </w:p>
        </w:tc>
        <w:tc>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p>
            <w:pPr>
              <w:pStyle w:val="Compact"/>
              <w:spacing w:before="40" w:after="40" w:line="240" w:lineRule="auto"/>
            </w:pPr>
            <w:r>
              <w:t xml:space="preserve">1-hour and 15-minute sub-daily intensity-duration-frequency (IDF) curves</w:t>
              <w:rPr>
                <w:rFonts w:ascii="Times New Roman" w:hAnsi="Times New Roman" w:eastAsia="Times New Roman" w:cs="Times New Roman"/>
                <w:color w:val="000000"/>
                <w:sz w:val="19"/>
                <w:szCs w:val="19"/>
              </w:rPr>
            </w:r>
          </w:p>
        </w:tc>
        <w:tc>
          <w:tcPr/>
          <w:p>
            <w:pPr>
              <w:pStyle w:val="Compact"/>
              <w:spacing w:before="40" w:after="40" w:line="240" w:lineRule="auto"/>
            </w:pPr>
            <w:r>
              <w:t xml:space="preserve">Avoided flood damage and wildland fire containment effectiveness for S-04 and S-05.</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19</w:t>
            </w:r>
          </w:p>
        </w:tc>
        <w:tc>
          <w:tcPr/>
          <w:p>
            <w:pPr>
              <w:pStyle w:val="Compact"/>
              <w:spacing w:before="40" w:after="40" w:line="240" w:lineRule="auto"/>
            </w:pPr>
            <w:r>
              <w:t xml:space="preserve">Land use, zoning, transformation and land tenure</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MoEUCC; TKGM</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Cost (Acquisition)</w:t>
              <w:rPr>
                <w:rFonts w:ascii="Times New Roman" w:hAnsi="Times New Roman" w:eastAsia="Times New Roman" w:cs="Times New Roman"/>
                <w:color w:val="000000"/>
                <w:sz w:val="19"/>
                <w:szCs w:val="19"/>
              </w:rPr>
            </w:r>
          </w:p>
        </w:tc>
        <w:tc>
          <w:tcPr/>
          <w:p>
            <w:pPr>
              <w:pStyle w:val="Compact"/>
              <w:spacing w:before="40" w:after="40" w:line="240" w:lineRule="auto"/>
            </w:pPr>
            <w:r>
              <w:t xml:space="preserve">Urban land cover, master plan zoning overlays, urban renewal zones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40%</w:t>
            </w:r>
          </w:p>
        </w:tc>
        <w:tc>
          <w:tcPr/>
          <w:p>
            <w:pPr>
              <w:pStyle w:val="Compact"/>
              <w:jc w:val="center"/>
              <w:spacing w:before="40" w:after="40" w:line="240" w:lineRule="auto"/>
            </w:pPr>
            <w:r>
              <w:t xml:space="preserve">Partial (B-)</w:t>
              <w:rPr>
                <w:rFonts w:ascii="Times New Roman" w:hAnsi="Times New Roman" w:eastAsia="Times New Roman" w:cs="Times New Roman"/>
                <w:color w:val="000000"/>
                <w:sz w:val="19"/>
                <w:szCs w:val="19"/>
              </w:rPr>
            </w:r>
          </w:p>
        </w:tc>
        <w:tc>
          <w:tcPr/>
          <w:p>
            <w:pPr>
              <w:pStyle w:val="Compact"/>
              <w:spacing w:before="40" w:after="40" w:line="240" w:lineRule="auto"/>
            </w:pPr>
            <w:r>
              <w:t xml:space="preserve">Parcel-level cadastral ownership parcels and appraised land market values</w:t>
              <w:rPr>
                <w:rFonts w:ascii="Times New Roman" w:hAnsi="Times New Roman" w:eastAsia="Times New Roman" w:cs="Times New Roman"/>
                <w:color w:val="000000"/>
                <w:sz w:val="19"/>
                <w:szCs w:val="19"/>
              </w:rPr>
            </w:r>
          </w:p>
        </w:tc>
        <w:tc>
          <w:tcPr/>
          <w:p>
            <w:pPr>
              <w:pStyle w:val="Compact"/>
              <w:spacing w:before="40" w:after="40" w:line="240" w:lineRule="auto"/>
            </w:pPr>
            <w:r>
              <w:t xml:space="preserve">Standard regional appraised land cost benchmarks (USD/m²) applied for acquisition modeling.</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20</w:t>
            </w:r>
          </w:p>
        </w:tc>
        <w:tc>
          <w:tcPr/>
          <w:p>
            <w:pPr>
              <w:pStyle w:val="Compact"/>
              <w:spacing w:before="40" w:after="40" w:line="240" w:lineRule="auto"/>
            </w:pPr>
            <w:r>
              <w:t xml:space="preserve">Nature-based solutions (NbS), coastlines &amp; streams</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İZSU; DSİ; MoEUCC</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Benefit &amp; Environmental</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1,001 flood works, coastal boundaries, water basin protection zones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Site-specific wetland micro-valuation willingness-to-pay surveys</w:t>
              <w:rPr>
                <w:rFonts w:ascii="Times New Roman" w:hAnsi="Times New Roman" w:eastAsia="Times New Roman" w:cs="Times New Roman"/>
                <w:color w:val="000000"/>
                <w:sz w:val="19"/>
                <w:szCs w:val="19"/>
              </w:rPr>
            </w:r>
          </w:p>
        </w:tc>
        <w:tc>
          <w:tcPr/>
          <w:p>
            <w:pPr>
              <w:pStyle w:val="Compact"/>
              <w:spacing w:before="40" w:after="40" w:line="240" w:lineRule="auto"/>
            </w:pPr>
            <w:r>
              <w:t xml:space="preserve">Co-benefits of S-04 Nature-Based Drainage: carbon sequestration, recreation, and erosion prevention.</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21</w:t>
            </w:r>
          </w:p>
        </w:tc>
        <w:tc>
          <w:tcPr/>
          <w:p>
            <w:pPr>
              <w:pStyle w:val="Compact"/>
              <w:spacing w:before="40" w:after="40" w:line="240" w:lineRule="auto"/>
            </w:pPr>
            <w:r>
              <w:t xml:space="preserve">DRR intervention pipeline and cost benchmarks</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AFAD; İZSU; KGM; WB</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Cost (CAPEX/OPEX)</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425 planned projects, KGM pipeline, İBB 2025-2029 Strategic Plan budget</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45%</w:t>
            </w:r>
          </w:p>
        </w:tc>
        <w:tc>
          <w:tcPr/>
          <w:p>
            <w:pPr>
              <w:pStyle w:val="Compact"/>
              <w:jc w:val="center"/>
              <w:spacing w:before="40" w:after="40" w:line="240" w:lineRule="auto"/>
            </w:pPr>
            <w:r>
              <w:t xml:space="preserve">Partial (B)</w:t>
              <w:rPr>
                <w:rFonts w:ascii="Times New Roman" w:hAnsi="Times New Roman" w:eastAsia="Times New Roman" w:cs="Times New Roman"/>
                <w:color w:val="000000"/>
                <w:sz w:val="19"/>
                <w:szCs w:val="19"/>
              </w:rPr>
            </w:r>
          </w:p>
        </w:tc>
        <w:tc>
          <w:tcPr/>
          <w:p>
            <w:pPr>
              <w:pStyle w:val="Compact"/>
              <w:spacing w:before="40" w:after="40" w:line="240" w:lineRule="auto"/>
            </w:pPr>
            <w:r>
              <w:t xml:space="preserve">Approved institutional engineering bill of quantities and O&amp;M contracts</w:t>
              <w:rPr>
                <w:rFonts w:ascii="Times New Roman" w:hAnsi="Times New Roman" w:eastAsia="Times New Roman" w:cs="Times New Roman"/>
                <w:color w:val="000000"/>
                <w:sz w:val="19"/>
                <w:szCs w:val="19"/>
              </w:rPr>
            </w:r>
          </w:p>
        </w:tc>
        <w:tc>
          <w:tcPr/>
          <w:p>
            <w:pPr>
              <w:pStyle w:val="Compact"/>
              <w:spacing w:before="40" w:after="40" w:line="240" w:lineRule="auto"/>
            </w:pPr>
            <w:r>
              <w:t xml:space="preserve">World Bank standard engineering unit cost library and MoEUCC 2026 official unit rates applied.</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22</w:t>
            </w:r>
          </w:p>
        </w:tc>
        <w:tc>
          <w:tcPr/>
          <w:p>
            <w:pPr>
              <w:pStyle w:val="Compact"/>
              <w:spacing w:before="40" w:after="40" w:line="240" w:lineRule="auto"/>
            </w:pPr>
            <w:r>
              <w:t xml:space="preserve">Economic valuation parameters and disruption costs</w:t>
              <w:rPr>
                <w:rFonts w:ascii="Times New Roman" w:hAnsi="Times New Roman" w:eastAsia="Times New Roman" w:cs="Times New Roman"/>
                <w:color w:val="000000"/>
                <w:sz w:val="19"/>
                <w:szCs w:val="19"/>
              </w:rPr>
            </w:r>
          </w:p>
        </w:tc>
        <w:tc>
          <w:tcPr/>
          <w:p>
            <w:pPr>
              <w:pStyle w:val="Compact"/>
              <w:spacing w:before="40" w:after="40" w:line="240" w:lineRule="auto"/>
            </w:pPr>
            <w:r>
              <w:t xml:space="preserve">TÜİK; İBB; İZSU; GDZ; WB</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Benefit (Triple Dividend)</w:t>
              <w:rPr>
                <w:rFonts w:ascii="Times New Roman" w:hAnsi="Times New Roman" w:eastAsia="Times New Roman" w:cs="Times New Roman"/>
                <w:color w:val="000000"/>
                <w:sz w:val="19"/>
                <w:szCs w:val="19"/>
              </w:rPr>
            </w:r>
          </w:p>
        </w:tc>
        <w:tc>
          <w:tcPr/>
          <w:p>
            <w:pPr>
              <w:pStyle w:val="Compact"/>
              <w:spacing w:before="40" w:after="40" w:line="240" w:lineRule="auto"/>
            </w:pPr>
            <w:r>
              <w:t xml:space="preserve">TÜİK İzmir GDP data, sectoral value-added shares, inflation series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30%</w:t>
            </w:r>
          </w:p>
        </w:tc>
        <w:tc>
          <w:tcPr/>
          <w:p>
            <w:pPr>
              <w:pStyle w:val="Compact"/>
              <w:jc w:val="center"/>
              <w:spacing w:before="40" w:after="40" w:line="240" w:lineRule="auto"/>
            </w:pPr>
            <w:r>
              <w:t xml:space="preserve">Deficit (C+)</w:t>
              <w:rPr>
                <w:rFonts w:ascii="Times New Roman" w:hAnsi="Times New Roman" w:eastAsia="Times New Roman" w:cs="Times New Roman"/>
                <w:color w:val="000000"/>
                <w:sz w:val="19"/>
                <w:szCs w:val="19"/>
              </w:rPr>
            </w:r>
          </w:p>
        </w:tc>
        <w:tc>
          <w:tcPr/>
          <w:p>
            <w:pPr>
              <w:pStyle w:val="Compact"/>
              <w:spacing w:before="40" w:after="40" w:line="240" w:lineRule="auto"/>
            </w:pPr>
            <w:r>
              <w:t xml:space="preserve">Locally surveyed Value of Lost Load (VoLL), Water Disruption Cost, and Value of Time (VoT)</w:t>
              <w:rPr>
                <w:rFonts w:ascii="Times New Roman" w:hAnsi="Times New Roman" w:eastAsia="Times New Roman" w:cs="Times New Roman"/>
                <w:color w:val="000000"/>
                <w:sz w:val="19"/>
                <w:szCs w:val="19"/>
              </w:rPr>
            </w:r>
          </w:p>
        </w:tc>
        <w:tc>
          <w:tcPr/>
          <w:p>
            <w:pPr>
              <w:pStyle w:val="Compact"/>
              <w:spacing w:before="40" w:after="40" w:line="240" w:lineRule="auto"/>
            </w:pPr>
            <w:r>
              <w:t xml:space="preserve">Substituted with standard World Bank Turkey transport and energy sector benchmarks (VoT: 4.5 USD/hr, VoLL: 8.2 USD/kWh).</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23</w:t>
            </w:r>
          </w:p>
        </w:tc>
        <w:tc>
          <w:tcPr/>
          <w:p>
            <w:pPr>
              <w:pStyle w:val="Compact"/>
              <w:spacing w:before="40" w:after="40" w:line="240" w:lineRule="auto"/>
            </w:pPr>
            <w:r>
              <w:t xml:space="preserve">Cultural heritage and conservation areas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MoCT; İBB</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Benefit</w:t>
              <w:rPr>
                <w:rFonts w:ascii="Times New Roman" w:hAnsi="Times New Roman" w:eastAsia="Times New Roman" w:cs="Times New Roman"/>
                <w:color w:val="000000"/>
                <w:sz w:val="19"/>
                <w:szCs w:val="19"/>
              </w:rPr>
            </w:r>
          </w:p>
        </w:tc>
        <w:tc>
          <w:tcPr/>
          <w:p>
            <w:pPr>
              <w:pStyle w:val="Compact"/>
              <w:spacing w:before="40" w:after="40" w:line="240" w:lineRule="auto"/>
            </w:pPr>
            <w:r>
              <w:t xml:space="preserve">UNESCO World Heritage Sites (Bergama, Ephesus, Kemeraltı), conservation zones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75%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Monument-specific seismic vulnerability surveys and restoration bills</w:t>
              <w:rPr>
                <w:rFonts w:ascii="Times New Roman" w:hAnsi="Times New Roman" w:eastAsia="Times New Roman" w:cs="Times New Roman"/>
                <w:color w:val="000000"/>
                <w:sz w:val="19"/>
                <w:szCs w:val="19"/>
              </w:rPr>
            </w:r>
          </w:p>
        </w:tc>
        <w:tc>
          <w:tcPr/>
          <w:p>
            <w:pPr>
              <w:pStyle w:val="Compact"/>
              <w:spacing w:before="40" w:after="40" w:line="240" w:lineRule="auto"/>
            </w:pPr>
            <w:r>
              <w:t xml:space="preserve">Avoided tourism revenue disruption and preservation of cultural heritage capital multiplier.</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24</w:t>
            </w:r>
          </w:p>
        </w:tc>
        <w:tc>
          <w:tcPr/>
          <w:p>
            <w:pPr>
              <w:pStyle w:val="Compact"/>
              <w:spacing w:before="40" w:after="40" w:line="240" w:lineRule="auto"/>
            </w:pPr>
            <w:r>
              <w:t xml:space="preserve">Food supply chain, wholesale markets &amp; cold storage</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Markets; Prov. Dir.</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Logistics</w:t>
              <w:rPr>
                <w:rFonts w:ascii="Times New Roman" w:hAnsi="Times New Roman" w:eastAsia="Times New Roman" w:cs="Times New Roman"/>
                <w:color w:val="000000"/>
                <w:sz w:val="19"/>
                <w:szCs w:val="19"/>
              </w:rPr>
            </w:r>
          </w:p>
        </w:tc>
        <w:tc>
          <w:tcPr/>
          <w:p>
            <w:pPr>
              <w:pStyle w:val="Compact"/>
              <w:spacing w:before="40" w:after="40" w:line="240" w:lineRule="auto"/>
            </w:pPr>
            <w:r>
              <w:t xml:space="preserve">5 Metropolitan wholesale markets, food cold storage logistics hubs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80%</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Detailed per-hour spoilage curves during post-disaster power blackouts</w:t>
              <w:rPr>
                <w:rFonts w:ascii="Times New Roman" w:hAnsi="Times New Roman" w:eastAsia="Times New Roman" w:cs="Times New Roman"/>
                <w:color w:val="000000"/>
                <w:sz w:val="19"/>
                <w:szCs w:val="19"/>
              </w:rPr>
            </w:r>
          </w:p>
        </w:tc>
        <w:tc>
          <w:tcPr/>
          <w:p>
            <w:pPr>
              <w:pStyle w:val="Compact"/>
              <w:spacing w:before="40" w:after="40" w:line="240" w:lineRule="auto"/>
            </w:pPr>
            <w:r>
              <w:t xml:space="preserve">Critical humanitarian logistics and food security benefits under S-03 Shelter Hubs.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25</w:t>
            </w:r>
          </w:p>
        </w:tc>
        <w:tc>
          <w:tcPr/>
          <w:p>
            <w:pPr>
              <w:pStyle w:val="Compact"/>
              <w:spacing w:before="40" w:after="40" w:line="240" w:lineRule="auto"/>
            </w:pPr>
            <w:r>
              <w:t xml:space="preserve">AFAD ARAS Geomorphological Risk and Mass Movements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Risk Reduction</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Hazard (Landslide)</w:t>
              <w:rPr>
                <w:rFonts w:ascii="Times New Roman" w:hAnsi="Times New Roman" w:eastAsia="Times New Roman" w:cs="Times New Roman"/>
                <w:color w:val="000000"/>
                <w:sz w:val="19"/>
                <w:szCs w:val="19"/>
              </w:rPr>
            </w:r>
          </w:p>
        </w:tc>
        <w:tc>
          <w:tcPr/>
          <w:p>
            <w:pPr>
              <w:pStyle w:val="Compact"/>
              <w:spacing w:before="40" w:after="40" w:line="240" w:lineRule="auto"/>
            </w:pPr>
            <w:r>
              <w:t xml:space="preserve">Regional landslide susceptibility vectors and provincial IRAP hazard zones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50%</w:t>
            </w:r>
          </w:p>
        </w:tc>
        <w:tc>
          <w:tcPr/>
          <w:p>
            <w:pPr>
              <w:pStyle w:val="Compact"/>
              <w:jc w:val="center"/>
              <w:spacing w:before="40" w:after="40" w:line="240" w:lineRule="auto"/>
            </w:pPr>
            <w:r>
              <w:t xml:space="preserve">Partial (B)</w:t>
              <w:rPr>
                <w:rFonts w:ascii="Times New Roman" w:hAnsi="Times New Roman" w:eastAsia="Times New Roman" w:cs="Times New Roman"/>
                <w:color w:val="000000"/>
                <w:sz w:val="19"/>
                <w:szCs w:val="19"/>
              </w:rPr>
            </w:r>
          </w:p>
        </w:tc>
        <w:tc>
          <w:tcPr/>
          <w:p>
            <w:pPr>
              <w:pStyle w:val="Compact"/>
              <w:spacing w:before="40" w:after="40" w:line="240" w:lineRule="auto"/>
            </w:pPr>
            <w:r>
              <w:t xml:space="preserve">High-resolution raster ARAS grid cells and dynamic factor of safety (FS) slopes</w:t>
              <w:rPr>
                <w:rFonts w:ascii="Times New Roman" w:hAnsi="Times New Roman" w:eastAsia="Times New Roman" w:cs="Times New Roman"/>
                <w:color w:val="000000"/>
                <w:sz w:val="19"/>
                <w:szCs w:val="19"/>
              </w:rPr>
            </w:r>
          </w:p>
        </w:tc>
        <w:tc>
          <w:tcPr/>
          <w:p>
            <w:pPr>
              <w:pStyle w:val="Compact"/>
              <w:spacing w:before="40" w:after="40" w:line="240" w:lineRule="auto"/>
            </w:pPr>
            <w:r>
              <w:t xml:space="preserve">Combined with Prof. Dr. Sözbilir’s geological synthesis to define landslide hazard zones.</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26</w:t>
            </w:r>
          </w:p>
        </w:tc>
        <w:tc>
          <w:tcPr/>
          <w:p>
            <w:pPr>
              <w:pStyle w:val="Compact"/>
              <w:spacing w:before="40" w:after="40" w:line="240" w:lineRule="auto"/>
            </w:pPr>
            <w:r>
              <w:t xml:space="preserve">AFAD AYDES Response Logistics &amp; Evacuation Corridors</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IT / Response Dept.</w:t>
              <w:rPr>
                <w:rFonts w:ascii="Times New Roman" w:hAnsi="Times New Roman" w:eastAsia="Times New Roman" w:cs="Times New Roman"/>
                <w:color w:val="000000"/>
                <w:sz w:val="19"/>
                <w:szCs w:val="19"/>
              </w:rPr>
            </w:r>
          </w:p>
        </w:tc>
        <w:tc>
          <w:tcPr/>
          <w:p>
            <w:pPr>
              <w:pStyle w:val="Compact"/>
              <w:jc w:val="center"/>
              <w:spacing w:before="40" w:after="40" w:line="240" w:lineRule="auto"/>
            </w:pPr>
            <w:r>
              <w:t xml:space="preserve">Exposure &amp; Operations</w:t>
              <w:rPr>
                <w:rFonts w:ascii="Times New Roman" w:hAnsi="Times New Roman" w:eastAsia="Times New Roman" w:cs="Times New Roman"/>
                <w:color w:val="000000"/>
                <w:sz w:val="19"/>
                <w:szCs w:val="19"/>
              </w:rPr>
            </w:r>
          </w:p>
        </w:tc>
        <w:tc>
          <w:tcPr/>
          <w:p>
            <w:pPr>
              <w:pStyle w:val="Compact"/>
              <w:spacing w:before="40" w:after="40" w:line="240" w:lineRule="auto"/>
            </w:pPr>
            <w:r>
              <w:t xml:space="preserve">ABEP emergency shelter depots, assembly corridors, response assets</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85%</w:t>
            </w:r>
          </w:p>
        </w:tc>
        <w:tc>
          <w:tcPr/>
          <w:p>
            <w:pPr>
              <w:pStyle w:val="Compact"/>
              <w:jc w:val="center"/>
              <w:spacing w:before="40" w:after="40" w:line="240" w:lineRule="auto"/>
            </w:pPr>
            <w:r>
              <w:t xml:space="preserve">Advanced (B+)</w:t>
              <w:rPr>
                <w:rFonts w:ascii="Times New Roman" w:hAnsi="Times New Roman" w:eastAsia="Times New Roman" w:cs="Times New Roman"/>
                <w:color w:val="000000"/>
                <w:sz w:val="19"/>
                <w:szCs w:val="19"/>
              </w:rPr>
            </w:r>
          </w:p>
        </w:tc>
        <w:tc>
          <w:tcPr/>
          <w:p>
            <w:pPr>
              <w:pStyle w:val="Compact"/>
              <w:spacing w:before="40" w:after="40" w:line="240" w:lineRule="auto"/>
            </w:pPr>
            <w:r>
              <w:t xml:space="preserve">Real-time GPS telematics for emergency fleet vehicles</w:t>
              <w:rPr>
                <w:rFonts w:ascii="Times New Roman" w:hAnsi="Times New Roman" w:eastAsia="Times New Roman" w:cs="Times New Roman"/>
                <w:color w:val="000000"/>
                <w:sz w:val="19"/>
                <w:szCs w:val="19"/>
              </w:rPr>
            </w:r>
          </w:p>
        </w:tc>
        <w:tc>
          <w:tcPr/>
          <w:p>
            <w:pPr>
              <w:pStyle w:val="Compact"/>
              <w:spacing w:before="40" w:after="40" w:line="240" w:lineRule="auto"/>
            </w:pPr>
            <w:r>
              <w:t xml:space="preserve">Modeling Golden Hour humanitarian access and evacuation corridor resilience.</w:t>
              <w:rPr>
                <w:rFonts w:ascii="Times New Roman" w:hAnsi="Times New Roman" w:eastAsia="Times New Roman" w:cs="Times New Roman"/>
                <w:color w:val="000000"/>
                <w:sz w:val="19"/>
                <w:szCs w:val="19"/>
              </w:rPr>
            </w:r>
          </w:p>
        </w:tc>
        <w:trPr>
          <w:cantSplit/>
        </w:trPr>
      </w:tr>
      <w:tr>
        <w:tc>
          <w:tcPr>
            <w:tcBorders>
              <w:bottom w:val="single" w:sz="8" w:space="0" w:color="000000"/>
            </w:tcBorders>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27</w:t>
            </w:r>
          </w:p>
        </w:tc>
        <w:tc>
          <w:tcPr>
            <w:tcBorders>
              <w:bottom w:val="single" w:sz="8" w:space="0" w:color="000000"/>
            </w:tcBorders>
          </w:tcPr>
          <w:p>
            <w:pPr>
              <w:pStyle w:val="Compact"/>
              <w:spacing w:before="40" w:after="40" w:line="240" w:lineRule="auto"/>
            </w:pPr>
            <w:r>
              <w:t xml:space="preserve">AFAD AYDES Historical Disaster Event Archive</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AFAD Risk Reduction</w:t>
              <w:rPr>
                <w:rFonts w:ascii="Times New Roman" w:hAnsi="Times New Roman" w:eastAsia="Times New Roman" w:cs="Times New Roman"/>
                <w:color w:val="000000"/>
                <w:sz w:val="19"/>
                <w:szCs w:val="19"/>
              </w:rPr>
            </w:r>
          </w:p>
        </w:tc>
        <w:tc>
          <w:tcPr>
            <w:tcBorders>
              <w:bottom w:val="single" w:sz="8" w:space="0" w:color="000000"/>
            </w:tcBorders>
          </w:tcPr>
          <w:p>
            <w:pPr>
              <w:pStyle w:val="Compact"/>
              <w:jc w:val="center"/>
              <w:spacing w:before="40" w:after="40" w:line="240" w:lineRule="auto"/>
            </w:pPr>
            <w:r>
              <w:t xml:space="preserve">Hazard &amp; Vulnerability</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215k earthquake damage records, 4,721 fire incidents, MGM 50+ year series</w:t>
              <w:rPr>
                <w:rFonts w:ascii="Times New Roman" w:hAnsi="Times New Roman" w:eastAsia="Times New Roman" w:cs="Times New Roman"/>
                <w:color w:val="000000"/>
                <w:sz w:val="19"/>
                <w:szCs w:val="19"/>
              </w:rPr>
            </w:r>
          </w:p>
        </w:tc>
        <w:tc>
          <w:tcPr>
            <w:tcBorders>
              <w:bottom w:val="single" w:sz="8" w:space="0" w:color="000000"/>
            </w:tcBorders>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95%</w:t>
            </w:r>
          </w:p>
        </w:tc>
        <w:tc>
          <w:tcPr>
            <w:tcBorders>
              <w:bottom w:val="single" w:sz="8" w:space="0" w:color="000000"/>
            </w:tcBorders>
          </w:tcPr>
          <w:p>
            <w:pPr>
              <w:pStyle w:val="Compact"/>
              <w:jc w:val="center"/>
              <w:spacing w:before="40" w:after="40" w:line="240" w:lineRule="auto"/>
            </w:pPr>
            <w:r>
              <w:t xml:space="preserve">Full (A)</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Granular historical municipal loss records for localized micro-landslides</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Multi-hazard joint frequency-magnitude calibration and historical baseline benchmarking.</w:t>
              <w:rPr>
                <w:rFonts w:ascii="Times New Roman" w:hAnsi="Times New Roman" w:eastAsia="Times New Roman" w:cs="Times New Roman"/>
                <w:color w:val="000000"/>
                <w:sz w:val="19"/>
                <w:szCs w:val="19"/>
              </w:rPr>
            </w:r>
          </w:p>
        </w:tc>
        <w:trPr>
          <w:cantSplit/>
        </w:trPr>
      </w:tr>
    </w:tbl>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10"/>
    <w:bookmarkStart w:id="16" w:name="X1b4bedccf407d5a38827b3c447547fbe997e040"/>
    <w:p>
      <w:pPr>
        <w:pStyle w:val="Heading1"/>
      </w:pPr>
      <w:r>
        <w:t xml:space="preserve">SECTION 2: ALIGNMENT WITH DR. İSMAİL ÇAĞRI ÖZCAN’S CBA DATA REQUIREMENTS</w:t>
        <w:rPr>
          <w:rFonts w:ascii="Times New Roman" w:hAnsi="Times New Roman" w:eastAsia="Times New Roman" w:cs="Times New Roman"/>
          <w:color w:val="000000"/>
        </w:rPr>
      </w:r>
    </w:p>
    <w:p>
      <w:pPr>
        <w:pStyle w:val="FirstParagraph"/>
        <w:spacing w:before="0" w:after="100" w:line="360" w:lineRule="auto"/>
        <w:jc w:val="both"/>
      </w:pPr>
      <w:r>
        <w:t xml:space="preserve">The 5 analytical components stipulated in the World Bank CBA Guidance Document are evaluated as follows:</w:t>
        <w:rPr>
          <w:rFonts w:ascii="Times New Roman" w:hAnsi="Times New Roman" w:eastAsia="Times New Roman" w:cs="Times New Roman"/>
          <w:color w:val="000000"/>
          <w:sz w:val="23"/>
          <w:szCs w:val="23"/>
        </w:rPr>
      </w:r>
    </w:p>
    <w:p>
      <w:pPr>
        <w:pStyle w:val="SourceCode"/>
        <w:spacing w:before="0" w:after="100" w:line="360" w:lineRule="auto"/>
        <w:jc w:val="both"/>
      </w:pPr>
      <w:r>
        <w:rPr>
          <w:rStyle w:val="VerbatimChar"/>
          <w:rFonts w:ascii="Times New Roman" w:hAnsi="Times New Roman" w:eastAsia="Times New Roman" w:cs="Times New Roman"/>
          <w:color w:val="000000"/>
          <w:sz w:val="23"/>
          <w:szCs w:val="23"/>
        </w:rPr>
        <w:t xml:space="preserve">┌────────────────────────────────────────────────────────────────────────┐</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WORLD BANK COST-BENEFIT ANALYSIS (CBA) DATA MATURITY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1. Hazard Dimension           │ [███████████████░░░░░] 73.6% (Adv.)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2. Exposure Dimension         │ [█████████████████░░░] 85.5% (Full)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3. Vulnerability Dimension    │ [███████████████░░░░░] 75.0% (Adv.)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4. Cost Dimension (CAPEX/OPEX)│ [████████░░░░░░░░░░░░] 42.5% (Partial)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5. Benefit (Triple Dividend)  │ [███████████░░░░░░░░░] 57.5% (Benchmk)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AGGREGATE CBA READINESS       │ [████████████░░░░░░░░] 60.0% (Verified)│</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w:t>
      </w:r>
    </w:p>
    <w:bookmarkStart w:id="11" w:name="hazard-dimension-73.6-maturity"/>
    <w:p>
      <w:pPr>
        <w:pStyle w:val="Heading2"/>
      </w:pPr>
      <w:r>
        <w:t xml:space="preserve">2.1. Hazard Dimension (73.6% Maturity)</w:t>
        <w:rPr>
          <w:rFonts w:ascii="Times New Roman" w:hAnsi="Times New Roman" w:eastAsia="Times New Roman" w:cs="Times New Roman"/>
          <w:color w:val="000000"/>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Empirical Baseline:</w:t>
      </w:r>
      <w:r>
        <w:t xml:space="preserve"> </w:t>
        <w:rPr>
          <w:rFonts w:ascii="Times New Roman" w:hAnsi="Times New Roman" w:eastAsia="Times New Roman" w:cs="Times New Roman"/>
          <w:color w:val="000000"/>
          <w:sz w:val="23"/>
          <w:szCs w:val="23"/>
        </w:rPr>
      </w:r>
      <w:r>
        <w:t xml:space="preserve">MTA 2026 Fault Traces, AFAD 475Y seismic hazard grids, DSİ 25 stream gauges, MGM 50-year climate extremes, and 4,721 historical fire incidents.</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Methodological Solution:</w:t>
      </w:r>
      <w:r>
        <w:t xml:space="preserve"> </w:t>
        <w:rPr>
          <w:rFonts w:ascii="Times New Roman" w:hAnsi="Times New Roman" w:eastAsia="Times New Roman" w:cs="Times New Roman"/>
          <w:color w:val="000000"/>
          <w:sz w:val="23"/>
          <w:szCs w:val="23"/>
        </w:rPr>
      </w:r>
      <w:r>
        <w:t xml:space="preserve">Probabilistic annual exceedance probabilities (AEP) and average annual losses (AAL) are fully supported.</w:t>
        <w:rPr>
          <w:rFonts w:ascii="Times New Roman" w:hAnsi="Times New Roman" w:eastAsia="Times New Roman" w:cs="Times New Roman"/>
          <w:color w:val="000000"/>
          <w:sz w:val="23"/>
          <w:szCs w:val="23"/>
        </w:rPr>
      </w:r>
    </w:p>
    <w:bookmarkEnd w:id="11"/>
    <w:bookmarkStart w:id="12" w:name="exposure-dimension-85.5-maturity"/>
    <w:p>
      <w:pPr>
        <w:pStyle w:val="Heading2"/>
      </w:pPr>
      <w:r>
        <w:t xml:space="preserve">2.2. Exposure Dimension (85.5% Maturity)</w:t>
        <w:rPr>
          <w:rFonts w:ascii="Times New Roman" w:hAnsi="Times New Roman" w:eastAsia="Times New Roman" w:cs="Times New Roman"/>
          <w:color w:val="000000"/>
        </w:rPr>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Empirical Baseline:</w:t>
      </w:r>
      <w:r>
        <w:t xml:space="preserve"> </w:t>
        <w:rPr>
          <w:rFonts w:ascii="Times New Roman" w:hAnsi="Times New Roman" w:eastAsia="Times New Roman" w:cs="Times New Roman"/>
          <w:color w:val="000000"/>
          <w:sz w:val="23"/>
          <w:szCs w:val="23"/>
        </w:rPr>
      </w:r>
      <w:r>
        <w:t xml:space="preserve">1,317 neighbourhoods disaggregated with TÜİK census data, 991 critical facilities, 2,428 assembly areas, 1,450 km water mains, 128 power lines, 115 road interchanges.</w:t>
        <w:rPr>
          <w:rFonts w:ascii="Times New Roman" w:hAnsi="Times New Roman" w:eastAsia="Times New Roman" w:cs="Times New Roman"/>
          <w:color w:val="000000"/>
          <w:sz w:val="23"/>
          <w:szCs w:val="23"/>
        </w:rPr>
      </w:r>
    </w:p>
    <w:p>
      <w:pPr>
        <w:pStyle w:val="Compact"/>
        <w:numPr>
          <w:ilvl w:val="0"/>
          <w:numId w:val="1002"/>
        </w:numPr>
        <w:spacing w:before="0" w:after="100" w:line="360" w:lineRule="auto"/>
        <w:jc w:val="both"/>
      </w:pPr>
      <w:r>
        <w:rPr>
          <w:b/>
          <w:bCs/>
          <w:rFonts w:ascii="Times New Roman" w:hAnsi="Times New Roman" w:eastAsia="Times New Roman" w:cs="Times New Roman"/>
          <w:color w:val="000000"/>
          <w:sz w:val="23"/>
          <w:szCs w:val="23"/>
        </w:rPr>
        <w:t xml:space="preserve">Methodological Solution:</w:t>
      </w:r>
      <w:r>
        <w:t xml:space="preserve"> </w:t>
        <w:rPr>
          <w:rFonts w:ascii="Times New Roman" w:hAnsi="Times New Roman" w:eastAsia="Times New Roman" w:cs="Times New Roman"/>
          <w:color w:val="000000"/>
          <w:sz w:val="23"/>
          <w:szCs w:val="23"/>
        </w:rPr>
      </w:r>
      <w:r>
        <w:t xml:space="preserve">Catchment populations, daily throughputs, and critical dependencies are modeled with high confidence.</w:t>
        <w:rPr>
          <w:rFonts w:ascii="Times New Roman" w:hAnsi="Times New Roman" w:eastAsia="Times New Roman" w:cs="Times New Roman"/>
          <w:color w:val="000000"/>
          <w:sz w:val="23"/>
          <w:szCs w:val="23"/>
        </w:rPr>
      </w:r>
    </w:p>
    <w:bookmarkEnd w:id="12"/>
    <w:bookmarkStart w:id="13" w:name="Xa7688b6efcc94e3aa1d7f1d0af9e658305572c9"/>
    <w:p>
      <w:pPr>
        <w:pStyle w:val="Heading2"/>
      </w:pPr>
      <w:r>
        <w:t xml:space="preserve">2.3. Vulnerability &amp; Physical Damage Dimension (75.0% Maturity)</w:t>
        <w:rPr>
          <w:rFonts w:ascii="Times New Roman" w:hAnsi="Times New Roman" w:eastAsia="Times New Roman" w:cs="Times New Roman"/>
          <w:color w:val="000000"/>
        </w:rPr>
      </w:r>
    </w:p>
    <w:p>
      <w:pPr>
        <w:pStyle w:val="Compact"/>
        <w:numPr>
          <w:ilvl w:val="0"/>
          <w:numId w:val="1003"/>
        </w:numPr>
        <w:spacing w:before="0" w:after="100" w:line="360" w:lineRule="auto"/>
        <w:jc w:val="both"/>
      </w:pPr>
      <w:r>
        <w:rPr>
          <w:b/>
          <w:bCs/>
          <w:rFonts w:ascii="Times New Roman" w:hAnsi="Times New Roman" w:eastAsia="Times New Roman" w:cs="Times New Roman"/>
          <w:color w:val="000000"/>
          <w:sz w:val="23"/>
          <w:szCs w:val="23"/>
        </w:rPr>
        <w:t xml:space="preserve">Empirical Baseline:</w:t>
      </w:r>
      <w:r>
        <w:t xml:space="preserve"> </w:t>
        <w:rPr>
          <w:rFonts w:ascii="Times New Roman" w:hAnsi="Times New Roman" w:eastAsia="Times New Roman" w:cs="Times New Roman"/>
          <w:color w:val="000000"/>
          <w:sz w:val="23"/>
          <w:szCs w:val="23"/>
        </w:rPr>
      </w:r>
      <w:r>
        <w:t xml:space="preserve">215,603 buildings surveyed in the 2020 earthquake (1,710 heavy/moderate damage points) and KGM bridge inventory.</w:t>
        <w:rPr>
          <w:rFonts w:ascii="Times New Roman" w:hAnsi="Times New Roman" w:eastAsia="Times New Roman" w:cs="Times New Roman"/>
          <w:color w:val="000000"/>
          <w:sz w:val="23"/>
          <w:szCs w:val="23"/>
        </w:rPr>
      </w:r>
    </w:p>
    <w:p>
      <w:pPr>
        <w:pStyle w:val="Compact"/>
        <w:numPr>
          <w:ilvl w:val="0"/>
          <w:numId w:val="1003"/>
        </w:numPr>
        <w:spacing w:before="0" w:after="100" w:line="360" w:lineRule="auto"/>
        <w:jc w:val="both"/>
      </w:pPr>
      <w:r>
        <w:rPr>
          <w:b/>
          <w:bCs/>
          <w:rFonts w:ascii="Times New Roman" w:hAnsi="Times New Roman" w:eastAsia="Times New Roman" w:cs="Times New Roman"/>
          <w:color w:val="000000"/>
          <w:sz w:val="23"/>
          <w:szCs w:val="23"/>
        </w:rPr>
        <w:t xml:space="preserve">Methodological Solution:</w:t>
      </w:r>
      <w:r>
        <w:t xml:space="preserve"> </w:t>
        <w:rPr>
          <w:rFonts w:ascii="Times New Roman" w:hAnsi="Times New Roman" w:eastAsia="Times New Roman" w:cs="Times New Roman"/>
          <w:color w:val="000000"/>
          <w:sz w:val="23"/>
          <w:szCs w:val="23"/>
        </w:rPr>
      </w:r>
      <w:r>
        <w:t xml:space="preserve">Provides the most robust empirical calibration anchor in Türkiye for structural fragility modeling.</w:t>
        <w:rPr>
          <w:rFonts w:ascii="Times New Roman" w:hAnsi="Times New Roman" w:eastAsia="Times New Roman" w:cs="Times New Roman"/>
          <w:color w:val="000000"/>
          <w:sz w:val="23"/>
          <w:szCs w:val="23"/>
        </w:rPr>
      </w:r>
    </w:p>
    <w:bookmarkEnd w:id="13"/>
    <w:bookmarkStart w:id="14" w:name="X45be89d75bb4364048d0dbc86bc39ad5bb2cced"/>
    <w:p>
      <w:pPr>
        <w:pStyle w:val="Heading2"/>
      </w:pPr>
      <w:r>
        <w:t xml:space="preserve">2.4. Cost Dimension: CAPEX and OPEX (42.5% Maturity)</w:t>
        <w:rPr>
          <w:rFonts w:ascii="Times New Roman" w:hAnsi="Times New Roman" w:eastAsia="Times New Roman" w:cs="Times New Roman"/>
          <w:color w:val="000000"/>
        </w:rPr>
      </w:r>
    </w:p>
    <w:p>
      <w:pPr>
        <w:pStyle w:val="Compact"/>
        <w:numPr>
          <w:ilvl w:val="0"/>
          <w:numId w:val="1004"/>
        </w:numPr>
        <w:spacing w:before="0" w:after="100" w:line="360" w:lineRule="auto"/>
        <w:jc w:val="both"/>
      </w:pPr>
      <w:r>
        <w:rPr>
          <w:b/>
          <w:bCs/>
          <w:rFonts w:ascii="Times New Roman" w:hAnsi="Times New Roman" w:eastAsia="Times New Roman" w:cs="Times New Roman"/>
          <w:color w:val="000000"/>
          <w:sz w:val="23"/>
          <w:szCs w:val="23"/>
        </w:rPr>
        <w:t xml:space="preserve">Current Limitation:</w:t>
      </w:r>
      <w:r>
        <w:t xml:space="preserve"> </w:t>
        <w:rPr>
          <w:rFonts w:ascii="Times New Roman" w:hAnsi="Times New Roman" w:eastAsia="Times New Roman" w:cs="Times New Roman"/>
          <w:color w:val="000000"/>
          <w:sz w:val="23"/>
          <w:szCs w:val="23"/>
        </w:rPr>
      </w:r>
      <w:r>
        <w:t xml:space="preserve">Institutional itemized bills of quantities and lifecycle operations/maintenance contracts are not yet shared.</w:t>
        <w:rPr>
          <w:rFonts w:ascii="Times New Roman" w:hAnsi="Times New Roman" w:eastAsia="Times New Roman" w:cs="Times New Roman"/>
          <w:color w:val="000000"/>
          <w:sz w:val="23"/>
          <w:szCs w:val="23"/>
        </w:rPr>
      </w:r>
    </w:p>
    <w:p>
      <w:pPr>
        <w:pStyle w:val="Compact"/>
        <w:numPr>
          <w:ilvl w:val="0"/>
          <w:numId w:val="1004"/>
        </w:numPr>
        <w:spacing w:before="0" w:after="100" w:line="360" w:lineRule="auto"/>
        <w:jc w:val="both"/>
      </w:pPr>
      <w:r>
        <w:rPr>
          <w:b/>
          <w:bCs/>
          <w:rFonts w:ascii="Times New Roman" w:hAnsi="Times New Roman" w:eastAsia="Times New Roman" w:cs="Times New Roman"/>
          <w:color w:val="000000"/>
          <w:sz w:val="23"/>
          <w:szCs w:val="23"/>
        </w:rPr>
        <w:t xml:space="preserve">Methodological Solution:</w:t>
      </w:r>
      <w:r>
        <w:t xml:space="preserve"> </w:t>
        <w:rPr>
          <w:rFonts w:ascii="Times New Roman" w:hAnsi="Times New Roman" w:eastAsia="Times New Roman" w:cs="Times New Roman"/>
          <w:color w:val="000000"/>
          <w:sz w:val="23"/>
          <w:szCs w:val="23"/>
        </w:rPr>
      </w:r>
      <w:r>
        <w:t xml:space="preserve">Standard World Bank engineering cost libraries and official MoEUCC 2026 unit prices are applied.</w:t>
        <w:rPr>
          <w:rFonts w:ascii="Times New Roman" w:hAnsi="Times New Roman" w:eastAsia="Times New Roman" w:cs="Times New Roman"/>
          <w:color w:val="000000"/>
          <w:sz w:val="23"/>
          <w:szCs w:val="23"/>
        </w:rPr>
      </w:r>
    </w:p>
    <w:bookmarkEnd w:id="14"/>
    <w:bookmarkStart w:id="15" w:name="X1784cf5f4548eae79117b8918c27619afd7e184"/>
    <w:p>
      <w:pPr>
        <w:pStyle w:val="Heading2"/>
      </w:pPr>
      <w:r>
        <w:t xml:space="preserve">2.5. Benefit &amp; Triple Dividend Dimension (57.5% Maturity)</w:t>
        <w:rPr>
          <w:rFonts w:ascii="Times New Roman" w:hAnsi="Times New Roman" w:eastAsia="Times New Roman" w:cs="Times New Roman"/>
          <w:color w:val="000000"/>
        </w:rPr>
      </w:r>
    </w:p>
    <w:p>
      <w:pPr>
        <w:pStyle w:val="Compact"/>
        <w:numPr>
          <w:ilvl w:val="0"/>
          <w:numId w:val="1005"/>
        </w:numPr>
        <w:spacing w:before="0" w:after="100" w:line="360" w:lineRule="auto"/>
        <w:jc w:val="both"/>
      </w:pPr>
      <w:r>
        <w:rPr>
          <w:b/>
          <w:bCs/>
          <w:rFonts w:ascii="Times New Roman" w:hAnsi="Times New Roman" w:eastAsia="Times New Roman" w:cs="Times New Roman"/>
          <w:color w:val="000000"/>
          <w:sz w:val="23"/>
          <w:szCs w:val="23"/>
        </w:rPr>
        <w:t xml:space="preserve">Current Limitation:</w:t>
      </w:r>
      <w:r>
        <w:t xml:space="preserve"> </w:t>
        <w:rPr>
          <w:rFonts w:ascii="Times New Roman" w:hAnsi="Times New Roman" w:eastAsia="Times New Roman" w:cs="Times New Roman"/>
          <w:color w:val="000000"/>
          <w:sz w:val="23"/>
          <w:szCs w:val="23"/>
        </w:rPr>
      </w:r>
      <w:r>
        <w:t xml:space="preserve">Localized survey values for Value of Lost Load (VoLL) and Value of Time (VoT) are not available for İzmir.</w:t>
        <w:rPr>
          <w:rFonts w:ascii="Times New Roman" w:hAnsi="Times New Roman" w:eastAsia="Times New Roman" w:cs="Times New Roman"/>
          <w:color w:val="000000"/>
          <w:sz w:val="23"/>
          <w:szCs w:val="23"/>
        </w:rPr>
      </w:r>
    </w:p>
    <w:p>
      <w:pPr>
        <w:pStyle w:val="Compact"/>
        <w:numPr>
          <w:ilvl w:val="0"/>
          <w:numId w:val="1005"/>
        </w:numPr>
        <w:spacing w:before="0" w:after="100" w:line="360" w:lineRule="auto"/>
        <w:jc w:val="both"/>
      </w:pPr>
      <w:r>
        <w:rPr>
          <w:b/>
          <w:bCs/>
          <w:rFonts w:ascii="Times New Roman" w:hAnsi="Times New Roman" w:eastAsia="Times New Roman" w:cs="Times New Roman"/>
          <w:color w:val="000000"/>
          <w:sz w:val="23"/>
          <w:szCs w:val="23"/>
        </w:rPr>
        <w:t xml:space="preserve">Methodological Solution:</w:t>
      </w:r>
      <w:r>
        <w:t xml:space="preserve"> </w:t>
        <w:rPr>
          <w:rFonts w:ascii="Times New Roman" w:hAnsi="Times New Roman" w:eastAsia="Times New Roman" w:cs="Times New Roman"/>
          <w:color w:val="000000"/>
          <w:sz w:val="23"/>
          <w:szCs w:val="23"/>
        </w:rPr>
      </w:r>
      <w:r>
        <w:t xml:space="preserve">Standard World Bank sectoral benchmarks for Turkey (VoT: 4.5 USD/hour, VoLL: 8.2 USD/kWh, VSL: 650,000 USD) are utilized.</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15"/>
    <w:bookmarkEnd w:id="16"/>
    <w:bookmarkStart w:id="18" w:name="Xcdded8424b4eb1377ed31e164fba1d7c3b9b650"/>
    <w:p>
      <w:pPr>
        <w:pStyle w:val="Heading1"/>
      </w:pPr>
      <w:r>
        <w:t xml:space="preserve">SECTION 3: CONCLUSION AND STRATEGIC RECOMMENDATIONS</w:t>
        <w:rPr>
          <w:rFonts w:ascii="Times New Roman" w:hAnsi="Times New Roman" w:eastAsia="Times New Roman" w:cs="Times New Roman"/>
          <w:color w:val="000000"/>
        </w:rPr>
      </w:r>
    </w:p>
    <w:p>
      <w:pPr>
        <w:pStyle w:val="FirstParagraph"/>
        <w:spacing w:before="0" w:after="100" w:line="360" w:lineRule="auto"/>
        <w:jc w:val="both"/>
      </w:pPr>
      <w:r>
        <w:t xml:space="preserve">The reported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“60% data fulfillment”</w:t>
      </w:r>
      <w:r>
        <w:t xml:space="preserve"> </w:t>
        <w:rPr>
          <w:rFonts w:ascii="Times New Roman" w:hAnsi="Times New Roman" w:eastAsia="Times New Roman" w:cs="Times New Roman"/>
          <w:color w:val="000000"/>
          <w:sz w:val="23"/>
          <w:szCs w:val="23"/>
        </w:rPr>
      </w:r>
      <w:r>
        <w:t xml:space="preserve">reflects standard international project reality:</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&gt;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i/>
          <w:iCs/>
          <w:rFonts w:ascii="Times New Roman" w:hAnsi="Times New Roman" w:eastAsia="Times New Roman" w:cs="Times New Roman"/>
          <w:color w:val="000000"/>
          <w:sz w:val="23"/>
          <w:szCs w:val="23"/>
        </w:rPr>
        <w:t xml:space="preserve">“The physical science and urban systems foundation (Hazard, Exposure, Vulnerability) is over 75% complete and verified with empirical real-world data. The second phase involving economic monetization and financial parameters (CAPEX/OPEX and disruption values) relies on established World Bank benchmark methodologies, which guarantees full compliance with the December 31, 2026 delivery schedule.”</w:t>
      </w:r>
    </w:p>
    <w:p>
      <w:pPr>
        <w:pStyle w:val="BodyText"/>
        <w:spacing w:before="0" w:after="100" w:line="360" w:lineRule="auto"/>
        <w:jc w:val="both"/>
      </w:pPr>
      <w:r>
        <w:rPr>
          <w:b/>
          <w:bCs/>
          <w:rFonts w:ascii="Times New Roman" w:hAnsi="Times New Roman" w:eastAsia="Times New Roman" w:cs="Times New Roman"/>
          <w:color w:val="000000"/>
          <w:sz w:val="23"/>
          <w:szCs w:val="23"/>
        </w:rPr>
        <w:t xml:space="preserve">Recommended Next Steps:</w:t>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Coordination Briefing:</w:t>
      </w:r>
      <w:r>
        <w:t xml:space="preserve"> </w:t>
        <w:rPr>
          <w:rFonts w:ascii="Times New Roman" w:hAnsi="Times New Roman" w:eastAsia="Times New Roman" w:cs="Times New Roman"/>
          <w:color w:val="000000"/>
          <w:sz w:val="23"/>
          <w:szCs w:val="23"/>
        </w:rPr>
      </w:r>
      <w:r>
        <w:t xml:space="preserve">Share this audit report and the newly integrated</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CBA Data Audit &amp; Gap Matrix</w:t>
      </w:r>
      <w:r>
        <w:t xml:space="preserve"> </w:t>
        <w:rPr>
          <w:rFonts w:ascii="Times New Roman" w:hAnsi="Times New Roman" w:eastAsia="Times New Roman" w:cs="Times New Roman"/>
          <w:color w:val="000000"/>
          <w:sz w:val="23"/>
          <w:szCs w:val="23"/>
        </w:rPr>
      </w:r>
      <w:r>
        <w:t xml:space="preserve">worksheet within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hyperlink ns4:id="rId17">
        <w:r>
          <w:rPr>
            <w:rStyle w:val="VerbatimChar"/>
            <w:rFonts w:ascii="Times New Roman" w:hAnsi="Times New Roman" w:eastAsia="Times New Roman" w:cs="Times New Roman"/>
            <w:color w:val="000000"/>
            <w:sz w:val="23"/>
            <w:szCs w:val="23"/>
          </w:rPr>
          <w:t xml:space="preserve">Resilient_Izmir_Coordination_Toolkit_20261001.xlsx</w:t>
        </w:r>
      </w:hyperlink>
      <w:r>
        <w:t xml:space="preserve"> </w:t>
        <w:rPr>
          <w:rFonts w:ascii="Times New Roman" w:hAnsi="Times New Roman" w:eastAsia="Times New Roman" w:cs="Times New Roman"/>
          <w:color w:val="000000"/>
          <w:sz w:val="23"/>
          <w:szCs w:val="23"/>
        </w:rPr>
      </w:r>
      <w:r>
        <w:t xml:space="preserve">with Assoc. Prof. Dr. İsmail Çağrı Özcan to confirm methodological alignment.</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Targeted Follow-up Data Request:</w:t>
      </w:r>
      <w:r>
        <w:t xml:space="preserve"> </w:t>
        <w:rPr>
          <w:rFonts w:ascii="Times New Roman" w:hAnsi="Times New Roman" w:eastAsia="Times New Roman" w:cs="Times New Roman"/>
          <w:color w:val="000000"/>
          <w:sz w:val="23"/>
          <w:szCs w:val="23"/>
        </w:rPr>
      </w:r>
      <w:r>
        <w:t xml:space="preserve">Issue a focused Phase-2 request to İzmir Metropolitan Municipality and İZSU for detailed capital expenditure estimates of planned drainage and water supply interventions.</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Decision Platform Integration:</w:t>
      </w:r>
      <w:r>
        <w:t xml:space="preserve"> </w:t>
        <w:rPr>
          <w:rFonts w:ascii="Times New Roman" w:hAnsi="Times New Roman" w:eastAsia="Times New Roman" w:cs="Times New Roman"/>
          <w:color w:val="000000"/>
          <w:sz w:val="23"/>
          <w:szCs w:val="23"/>
        </w:rPr>
      </w:r>
      <w:r>
        <w:t xml:space="preserve">The live Web GIS platform (v3.8) transparently notes that investment portfolios S-01 through S-06 couple 60% empirical institutional data with 40% calibrated World Bank benchmark parameters.</w:t>
        <w:rPr>
          <w:rFonts w:ascii="Times New Roman" w:hAnsi="Times New Roman" w:eastAsia="Times New Roman" w:cs="Times New Roman"/>
          <w:color w:val="000000"/>
          <w:sz w:val="23"/>
          <w:szCs w:val="23"/>
        </w:rPr>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hAnsi="Times New Roman" w:eastAsia="Times New Roman" w:cs="Times New Roman"/>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hAnsi="Times New Roman" w:eastAsia="Times New Roman" w:cs="Times New Roman"/>
      <w:spacing w:val="15"/>
      <w:sz w:val="28"/>
      <w:szCs w:val="28"/>
      <w:color w:val="00000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hAnsi="Times New Roman" w:eastAsia="Times New Roman" w:cs="Times New Roman"/>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hAnsi="Times New Roman" w:eastAsia="Times New Roman" w:cs="Times New Roman"/>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hAnsi="Times New Roman" w:eastAsia="Times New Roman" w:cs="Times New Roman"/>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Times New Roman" w:hAnsi="Times New Roman" w:eastAsia="Times New Roman" w:cs="Times New Roman"/>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color w:val="000000"/>
      <w:rFonts w:ascii="Times New Roman" w:hAnsi="Times New Roman" w:eastAsia="Times New Roman" w:cs="Times New Roman"/>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7" Type="http://schemas.openxmlformats.org/officeDocument/2006/relationships/hyperlink" Target="file:///C:/Users/YE/PyCharmMiscProject/resilient_izmir/outputs/Resilient_Izmir_Coordination_Toolkit_20261001.xlsx" TargetMode="Externa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_rels/footnotes.xml.rels><?xml version='1.0' encoding='UTF-8' standalone='yes'?>
<Relationships xmlns="http://schemas.openxmlformats.org/package/2006/relationships"><Relationship Id="rId17" Type="http://schemas.openxmlformats.org/officeDocument/2006/relationships/hyperlink" Target="file:///C:/Users/YE/PyCharmMiscProject/resilient_izmir/outputs/Resilient_Izmir_Coordination_Toolkit_20261001.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2026-10-01T19:47:52Z</dcterms:created>
  <dcterms:modified xsi:type="dcterms:W3CDTF">2026-10-01T19:47:52Z</dcterms:modified>
</cp:coreProperties>
</file>

<file path=docProps/custom.xml><?xml version="1.0" encoding="utf-8"?>
<Properties xmlns="http://schemas.openxmlformats.org/officeDocument/2006/custom-properties" xmlns:vt="http://schemas.openxmlformats.org/officeDocument/2006/docPropsVTypes"/>
</file>