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228a2d4defefde306ffe3cdbf5f366c3d5ecf83"/>
    <w:p>
      <w:pPr>
        <w:pStyle w:val="Heading1"/>
      </w:pPr>
      <w:r>
        <w:t xml:space="preserve">REPUBLIC OF TÜRKİYE MINISTRY OF INTERIOR AFAD, WORLD BANK, AND İZMİR METROPOLITAN MUNICIPALITY</w:t>
      </w:r>
    </w:p>
    <w:bookmarkStart w:id="10" w:name="Xd263a9328d4434e45dfd86883c4957eabb3cd33"/>
    <w:p>
      <w:pPr>
        <w:pStyle w:val="Heading2"/>
      </w:pPr>
      <w:r>
        <w:t xml:space="preserve">RESILIENT İZMİR: URBAN RESILIENCE AND MULTI-HAZARD RISK ASSESSMENT</w:t>
      </w:r>
    </w:p>
    <w:bookmarkStart w:id="9" w:name="X7d916d776773bd8b2173ba3c049d3d3c4fa122e"/>
    <w:p>
      <w:pPr>
        <w:pStyle w:val="Heading3"/>
      </w:pPr>
      <w:r>
        <w:t xml:space="preserve">PROTOCOL FOR CLOSING DATA GAPS, BILATERAL DATA EXCHANGE SCHEMA, AND INSTITUTIONAL CLOUD GOVERNANCE PLAN</w:t>
      </w:r>
    </w:p>
    <w:p>
      <w:pPr>
        <w:pStyle w:val="FirstParagraph"/>
      </w:pPr>
      <w:r>
        <w:rPr>
          <w:b/>
          <w:bCs/>
        </w:rPr>
        <w:t xml:space="preserve">Document Code:</w:t>
      </w:r>
      <w:r>
        <w:t xml:space="preserve"> </w:t>
      </w:r>
      <w:r>
        <w:rPr>
          <w:rStyle w:val="VerbatimChar"/>
        </w:rPr>
        <w:t xml:space="preserve">RI-DOC-2026-10-02-D1-PROTO-EN</w:t>
      </w:r>
      <w:r>
        <w:br/>
      </w:r>
      <w:r>
        <w:rPr>
          <w:b/>
          <w:bCs/>
        </w:rPr>
        <w:t xml:space="preserve">Publication Date:</w:t>
      </w:r>
      <w:r>
        <w:t xml:space="preserve"> </w:t>
      </w:r>
      <w:r>
        <w:t xml:space="preserve">October 2, 2026</w:t>
      </w:r>
      <w:r>
        <w:br/>
      </w:r>
      <w:r>
        <w:rPr>
          <w:b/>
          <w:bCs/>
        </w:rPr>
        <w:t xml:space="preserve">Version:</w:t>
      </w:r>
      <w:r>
        <w:t xml:space="preserve"> </w:t>
      </w:r>
      <w:r>
        <w:t xml:space="preserve">v1.0 (Official Stakeholder Coordination Release)</w:t>
      </w:r>
      <w:r>
        <w:br/>
      </w:r>
      <w:r>
        <w:rPr>
          <w:b/>
          <w:bCs/>
        </w:rPr>
        <w:t xml:space="preserve">Prepared by:</w:t>
      </w:r>
      <w:r>
        <w:t xml:space="preserve"> </w:t>
      </w:r>
      <w:r>
        <w:t xml:space="preserve">Dokuz Eylül University Department of City and Regional Planning &amp; Resilient İzmir Technical Working Group</w:t>
      </w:r>
      <w:r>
        <w:br/>
      </w:r>
      <w:r>
        <w:rPr>
          <w:b/>
          <w:bCs/>
        </w:rPr>
        <w:t xml:space="preserve">Addressed Entities:</w:t>
      </w:r>
      <w:r>
        <w:t xml:space="preserve"> </w:t>
      </w:r>
      <w:r>
        <w:t xml:space="preserve">Disaster and Emergency Management Authority (AFAD), World Bank (TAFF Mission), İzmir Metropolitan Municipality (İBB), Academic Domain Expert Committee</w:t>
      </w:r>
    </w:p>
    <w:p>
      <w:r>
        <w:pict>
          <v:rect style="width:0;height:1.5pt" o:hralign="center" o:hrstd="t" o:hr="t"/>
        </w:pict>
      </w:r>
    </w:p>
    <w:bookmarkEnd w:id="9"/>
    <w:bookmarkEnd w:id="10"/>
    <w:bookmarkStart w:id="11" w:name="executive-summary-and-protocol-purpose"/>
    <w:p>
      <w:pPr>
        <w:pStyle w:val="Heading2"/>
      </w:pPr>
      <w:r>
        <w:t xml:space="preserve">1. EXECUTIVE SUMMARY AND PROTOCOL PURPOSE</w:t>
      </w:r>
    </w:p>
    <w:p>
      <w:pPr>
        <w:pStyle w:val="FirstParagraph"/>
      </w:pPr>
      <w:r>
        <w:t xml:space="preserve">In line with the strategic decisions reached at the Technical Coordination Meeting on October 1, 2026, and the scientific guidelines directed by Prof. Dr. Evren Erdin; the</w:t>
      </w:r>
      <w:r>
        <w:t xml:space="preserve"> </w:t>
      </w:r>
      <w:r>
        <w:rPr>
          <w:b/>
          <w:bCs/>
        </w:rPr>
        <w:t xml:space="preserve">2.15 GB institutional data package</w:t>
      </w:r>
      <w:r>
        <w:t xml:space="preserve"> </w:t>
      </w:r>
      <w:r>
        <w:t xml:space="preserve">transmitted by AFAD has been successfully processed, spatial taxonomies reconciled, and dynamically integrated into the</w:t>
      </w:r>
      <w:r>
        <w:t xml:space="preserve"> </w:t>
      </w:r>
      <w:r>
        <w:rPr>
          <w:b/>
          <w:bCs/>
        </w:rPr>
        <w:t xml:space="preserve">Resilient İzmir Web Decision Support Platform v3.8</w:t>
      </w:r>
      <w:r>
        <w:t xml:space="preserve">.</w:t>
      </w:r>
    </w:p>
    <w:p>
      <w:pPr>
        <w:pStyle w:val="BodyText"/>
      </w:pPr>
      <w:r>
        <w:t xml:space="preserve">The integrated 2.15 GB dataset comprises:</w:t>
      </w:r>
      <w:r>
        <w:t xml:space="preserve"> </w:t>
      </w:r>
      <w:r>
        <w:t xml:space="preserve">1.</w:t>
      </w:r>
      <w:r>
        <w:t xml:space="preserve"> </w:t>
      </w:r>
      <w:r>
        <w:rPr>
          <w:b/>
          <w:bCs/>
        </w:rPr>
        <w:t xml:space="preserve">991 Critical Infrastructure Point Assets:</w:t>
      </w:r>
      <w:r>
        <w:t xml:space="preserve"> </w:t>
      </w:r>
      <w:r>
        <w:t xml:space="preserve">Georeferenced inventories for Healthcare (692), Energy (109), Transportation (131), Water/Dams (33), Disaster Response/Security (13), Hazardous Chemical/Seveso (8), and Food Logistics (5).</w:t>
      </w:r>
      <w:r>
        <w:t xml:space="preserve"> </w:t>
      </w:r>
      <w:r>
        <w:t xml:space="preserve">2.</w:t>
      </w:r>
      <w:r>
        <w:t xml:space="preserve"> </w:t>
      </w:r>
      <w:r>
        <w:rPr>
          <w:b/>
          <w:bCs/>
        </w:rPr>
        <w:t xml:space="preserve">1,157 Network and Transmission Lines:</w:t>
      </w:r>
      <w:r>
        <w:t xml:space="preserve"> </w:t>
      </w:r>
      <w:r>
        <w:t xml:space="preserve">TEİAŞ high-voltage transmission lines, BOTAŞ natural gas transmission pipelines, and DSİ flood control canals.</w:t>
      </w:r>
      <w:r>
        <w:t xml:space="preserve"> </w:t>
      </w:r>
      <w:r>
        <w:t xml:space="preserve">3.</w:t>
      </w:r>
      <w:r>
        <w:t xml:space="preserve"> </w:t>
      </w:r>
      <w:r>
        <w:rPr>
          <w:b/>
          <w:bCs/>
        </w:rPr>
        <w:t xml:space="preserve">MTA 2026 Active Fault Database:</w:t>
      </w:r>
      <w:r>
        <w:t xml:space="preserve"> </w:t>
      </w:r>
      <w:r>
        <w:t xml:space="preserve">1,102 active fault segments across the İzmir metropolitan region.</w:t>
      </w:r>
      <w:r>
        <w:t xml:space="preserve"> </w:t>
      </w:r>
      <w:r>
        <w:t xml:space="preserve">4.</w:t>
      </w:r>
      <w:r>
        <w:t xml:space="preserve"> </w:t>
      </w:r>
      <w:r>
        <w:rPr>
          <w:b/>
          <w:bCs/>
        </w:rPr>
        <w:t xml:space="preserve">Post-Disaster Building Damage Registry:</w:t>
      </w:r>
      <w:r>
        <w:t xml:space="preserve"> </w:t>
      </w:r>
      <w:r>
        <w:t xml:space="preserve">215,603 buildings surveyed by ÇŞİDB and AFAD following the October 30, 2020 Samos–İzmir earthquake, including 1,710 heavily damaged or collapsed building coordinates.</w:t>
      </w:r>
    </w:p>
    <w:p>
      <w:pPr>
        <w:pStyle w:val="BodyText"/>
      </w:pPr>
      <w:r>
        <w:t xml:space="preserve">However, as highlighted during the technical conference, for the</w:t>
      </w:r>
      <w:r>
        <w:t xml:space="preserve"> </w:t>
      </w:r>
      <w:r>
        <w:rPr>
          <w:b/>
          <w:bCs/>
        </w:rPr>
        <w:t xml:space="preserve">Multi-Hazard Vulnerability Model</w:t>
      </w:r>
      <w:r>
        <w:t xml:space="preserve"> </w:t>
      </w:r>
      <w:r>
        <w:t xml:space="preserve">and the</w:t>
      </w:r>
      <w:r>
        <w:t xml:space="preserve"> </w:t>
      </w:r>
      <w:r>
        <w:rPr>
          <w:b/>
          <w:bCs/>
        </w:rPr>
        <w:t xml:space="preserve">Cost-Benefit Analysis (CBA)</w:t>
      </w:r>
      <w:r>
        <w:t xml:space="preserve"> </w:t>
      </w:r>
      <w:r>
        <w:t xml:space="preserve">led by Assoc. Prof. Dr. İsmail Çağrı Özcan to advance from the current</w:t>
      </w:r>
      <w:r>
        <w:t xml:space="preserve"> </w:t>
      </w:r>
      <w:r>
        <w:rPr>
          <w:b/>
          <w:bCs/>
        </w:rPr>
        <w:t xml:space="preserve">60% operational baseline to 100% analytical certainty</w:t>
      </w:r>
      <w:r>
        <w:t xml:space="preserve">, the</w:t>
      </w:r>
      <w:r>
        <w:t xml:space="preserve"> </w:t>
      </w:r>
      <w:r>
        <w:rPr>
          <w:b/>
          <w:bCs/>
        </w:rPr>
        <w:t xml:space="preserve">remaining 40% data inventory</w:t>
      </w:r>
      <w:r>
        <w:t xml:space="preserve"> </w:t>
      </w:r>
      <w:r>
        <w:t xml:space="preserve">must be formally acquired from stakeholder institutions.</w:t>
      </w:r>
    </w:p>
    <w:p>
      <w:pPr>
        <w:pStyle w:val="BodyText"/>
      </w:pPr>
      <w:r>
        <w:t xml:space="preserve">This protocol articulates the official institutional data request matrix, database schemas, integration workflow for academic domain experts, and the shared 5-tier institutional cloud repository architecture (Drive/Nextcloud).</w:t>
      </w:r>
    </w:p>
    <w:p>
      <w:r>
        <w:pict>
          <v:rect style="width:0;height:1.5pt" o:hralign="center" o:hrstd="t" o:hr="t"/>
        </w:pict>
      </w:r>
    </w:p>
    <w:bookmarkEnd w:id="11"/>
    <w:bookmarkStart w:id="12" w:name="X21afe50c298c4c57258d64750a2df2235a81dcb"/>
    <w:p>
      <w:pPr>
        <w:pStyle w:val="Heading2"/>
      </w:pPr>
      <w:r>
        <w:t xml:space="preserve">2. REMAINING 40% DATA INVENTORY &amp; INSTITUTIONAL REQUEST MATRIX</w:t>
      </w:r>
    </w:p>
    <w:p>
      <w:pPr>
        <w:pStyle w:val="FirstParagraph"/>
      </w:pPr>
      <w:r>
        <w:t xml:space="preserve">The matrix below specifies the exact datasets to be formally requested through AFAD coordination, consistent with the September 15, 2026 CBA Data Requirements and ToR T5–T9 benchmarks:</w:t>
      </w:r>
    </w:p>
    <w:tbl>
      <w:tblPr>
        <w:tblStyle w:val="Table"/>
        <w:tblW w:type="pct" w:w="5000"/>
        <w:tblLayout w:type="fixed"/>
        <w:tblLook w:firstRow="1" w:lastRow="0" w:firstColumn="0" w:lastColumn="0" w:noHBand="0" w:noVBand="0" w:val="0020"/>
      </w:tblPr>
      <w:tblGrid>
        <w:gridCol w:w="1523"/>
        <w:gridCol w:w="1218"/>
        <w:gridCol w:w="1218"/>
        <w:gridCol w:w="1218"/>
        <w:gridCol w:w="1218"/>
        <w:gridCol w:w="1523"/>
      </w:tblGrid>
      <w:tr>
        <w:trPr>
          <w:tblHeader w:val="on"/>
        </w:trPr>
        <w:tc>
          <w:tcPr/>
          <w:p>
            <w:pPr>
              <w:pStyle w:val="Compact"/>
              <w:jc w:val="center"/>
            </w:pPr>
            <w:r>
              <w:t xml:space="preserve">No</w:t>
            </w:r>
          </w:p>
        </w:tc>
        <w:tc>
          <w:tcPr/>
          <w:p>
            <w:pPr>
              <w:pStyle w:val="Compact"/>
              <w:jc w:val="left"/>
            </w:pPr>
            <w:r>
              <w:t xml:space="preserve">Target Institution / Agency</w:t>
            </w:r>
          </w:p>
        </w:tc>
        <w:tc>
          <w:tcPr/>
          <w:p>
            <w:pPr>
              <w:pStyle w:val="Compact"/>
              <w:jc w:val="left"/>
            </w:pPr>
            <w:r>
              <w:t xml:space="preserve">Requested Dataset</w:t>
            </w:r>
          </w:p>
        </w:tc>
        <w:tc>
          <w:tcPr/>
          <w:p>
            <w:pPr>
              <w:pStyle w:val="Compact"/>
              <w:jc w:val="left"/>
            </w:pPr>
            <w:r>
              <w:t xml:space="preserve">Required Format / Attributes</w:t>
            </w:r>
          </w:p>
        </w:tc>
        <w:tc>
          <w:tcPr/>
          <w:p>
            <w:pPr>
              <w:pStyle w:val="Compact"/>
              <w:jc w:val="left"/>
            </w:pPr>
            <w:r>
              <w:t xml:space="preserve">Role in Resilient İzmir Model</w:t>
            </w:r>
          </w:p>
        </w:tc>
        <w:tc>
          <w:tcPr/>
          <w:p>
            <w:pPr>
              <w:pStyle w:val="Compact"/>
              <w:jc w:val="center"/>
            </w:pPr>
            <w:r>
              <w:t xml:space="preserve">Priority Level</w:t>
            </w:r>
          </w:p>
        </w:tc>
      </w:tr>
      <w:tr>
        <w:tc>
          <w:tcPr/>
          <w:p>
            <w:pPr>
              <w:pStyle w:val="Compact"/>
              <w:jc w:val="center"/>
            </w:pPr>
            <w:r>
              <w:rPr>
                <w:b/>
                <w:bCs/>
              </w:rPr>
              <w:t xml:space="preserve">01</w:t>
            </w:r>
          </w:p>
        </w:tc>
        <w:tc>
          <w:tcPr/>
          <w:p>
            <w:pPr>
              <w:pStyle w:val="Compact"/>
              <w:jc w:val="left"/>
            </w:pPr>
            <w:r>
              <w:rPr>
                <w:b/>
                <w:bCs/>
              </w:rPr>
              <w:t xml:space="preserve">Ministry of Health</w:t>
            </w:r>
            <w:r>
              <w:t xml:space="preserve"> </w:t>
            </w:r>
            <w:r>
              <w:t xml:space="preserve">(Provincial Directorate)</w:t>
            </w:r>
          </w:p>
        </w:tc>
        <w:tc>
          <w:tcPr/>
          <w:p>
            <w:pPr>
              <w:pStyle w:val="Compact"/>
              <w:jc w:val="left"/>
            </w:pPr>
            <w:r>
              <w:t xml:space="preserve">66 Hospitals &amp; 497 Primary Health Centers: Construction year, structural framing (C1/C2/S1), seismic base isolation status, bed count, and backup generator fuel autonomy.</w:t>
            </w:r>
          </w:p>
        </w:tc>
        <w:tc>
          <w:tcPr/>
          <w:p>
            <w:pPr>
              <w:pStyle w:val="Compact"/>
              <w:jc w:val="left"/>
            </w:pPr>
            <w:r>
              <w:t xml:space="preserve">Excel / Tabular (.xlsx, .csv)</w:t>
            </w:r>
          </w:p>
        </w:tc>
        <w:tc>
          <w:tcPr/>
          <w:p>
            <w:pPr>
              <w:pStyle w:val="Compact"/>
              <w:jc w:val="left"/>
            </w:pPr>
            <w:r>
              <w:t xml:space="preserve">Critical Infrastructure Fragility Index, Outage Disruption Loss Functions</w:t>
            </w:r>
          </w:p>
        </w:tc>
        <w:tc>
          <w:tcPr/>
          <w:p>
            <w:pPr>
              <w:pStyle w:val="Compact"/>
              <w:jc w:val="center"/>
            </w:pPr>
            <w:r>
              <w:rPr>
                <w:b/>
                <w:bCs/>
              </w:rPr>
              <w:t xml:space="preserve">Critical (P1)</w:t>
            </w:r>
          </w:p>
        </w:tc>
      </w:tr>
      <w:tr>
        <w:tc>
          <w:tcPr/>
          <w:p>
            <w:pPr>
              <w:pStyle w:val="Compact"/>
              <w:jc w:val="center"/>
            </w:pPr>
            <w:r>
              <w:rPr>
                <w:b/>
                <w:bCs/>
              </w:rPr>
              <w:t xml:space="preserve">02</w:t>
            </w:r>
          </w:p>
        </w:tc>
        <w:tc>
          <w:tcPr/>
          <w:p>
            <w:pPr>
              <w:pStyle w:val="Compact"/>
              <w:jc w:val="left"/>
            </w:pPr>
            <w:r>
              <w:rPr>
                <w:b/>
                <w:bCs/>
              </w:rPr>
              <w:t xml:space="preserve">Ministry of National Education</w:t>
            </w:r>
            <w:r>
              <w:t xml:space="preserve"> </w:t>
            </w:r>
            <w:r>
              <w:t xml:space="preserve">(MEB)</w:t>
            </w:r>
          </w:p>
        </w:tc>
        <w:tc>
          <w:tcPr/>
          <w:p>
            <w:pPr>
              <w:pStyle w:val="Compact"/>
              <w:jc w:val="left"/>
            </w:pPr>
            <w:r>
              <w:t xml:space="preserve">850+ Schools: Construction year, retrofitting history (MEB/İSMEP), classroom/student capacity.</w:t>
            </w:r>
          </w:p>
        </w:tc>
        <w:tc>
          <w:tcPr/>
          <w:p>
            <w:pPr>
              <w:pStyle w:val="Compact"/>
              <w:jc w:val="left"/>
            </w:pPr>
            <w:r>
              <w:t xml:space="preserve">Excel / SHP</w:t>
            </w:r>
          </w:p>
        </w:tc>
        <w:tc>
          <w:tcPr/>
          <w:p>
            <w:pPr>
              <w:pStyle w:val="Compact"/>
              <w:jc w:val="left"/>
            </w:pPr>
            <w:r>
              <w:t xml:space="preserve">Post-Disaster Assembly/Evacuation Capacity, Socio-Economic Vulnerability</w:t>
            </w:r>
          </w:p>
        </w:tc>
        <w:tc>
          <w:tcPr/>
          <w:p>
            <w:pPr>
              <w:pStyle w:val="Compact"/>
              <w:jc w:val="center"/>
            </w:pPr>
            <w:r>
              <w:rPr>
                <w:b/>
                <w:bCs/>
              </w:rPr>
              <w:t xml:space="preserve">Critical (P1)</w:t>
            </w:r>
          </w:p>
        </w:tc>
      </w:tr>
      <w:tr>
        <w:tc>
          <w:tcPr/>
          <w:p>
            <w:pPr>
              <w:pStyle w:val="Compact"/>
              <w:jc w:val="center"/>
            </w:pPr>
            <w:r>
              <w:rPr>
                <w:b/>
                <w:bCs/>
              </w:rPr>
              <w:t xml:space="preserve">03</w:t>
            </w:r>
          </w:p>
        </w:tc>
        <w:tc>
          <w:tcPr/>
          <w:p>
            <w:pPr>
              <w:pStyle w:val="Compact"/>
              <w:jc w:val="left"/>
            </w:pPr>
            <w:r>
              <w:rPr>
                <w:b/>
                <w:bCs/>
              </w:rPr>
              <w:t xml:space="preserve">TEİAŞ 3rd Regional Directorate &amp; GDZ Elektrik</w:t>
            </w:r>
          </w:p>
        </w:tc>
        <w:tc>
          <w:tcPr/>
          <w:p>
            <w:pPr>
              <w:pStyle w:val="Compact"/>
              <w:jc w:val="left"/>
            </w:pPr>
            <w:r>
              <w:t xml:space="preserve">12 Substation Feeders (TM): Service catchment areas (neighborhood cross-walks) and transformer installed capacity (MVA).</w:t>
            </w:r>
          </w:p>
        </w:tc>
        <w:tc>
          <w:tcPr/>
          <w:p>
            <w:pPr>
              <w:pStyle w:val="Compact"/>
              <w:jc w:val="left"/>
            </w:pPr>
            <w:r>
              <w:t xml:space="preserve">GIS (.shp / .geojson) or Single-Line Diagram</w:t>
            </w:r>
          </w:p>
        </w:tc>
        <w:tc>
          <w:tcPr/>
          <w:p>
            <w:pPr>
              <w:pStyle w:val="Compact"/>
              <w:jc w:val="left"/>
            </w:pPr>
            <w:r>
              <w:t xml:space="preserve">Infrastructure Interdependency &amp; Cascading Power Outage Simulator</w:t>
            </w:r>
          </w:p>
        </w:tc>
        <w:tc>
          <w:tcPr/>
          <w:p>
            <w:pPr>
              <w:pStyle w:val="Compact"/>
              <w:jc w:val="center"/>
            </w:pPr>
            <w:r>
              <w:rPr>
                <w:b/>
                <w:bCs/>
              </w:rPr>
              <w:t xml:space="preserve">Critical (P1)</w:t>
            </w:r>
          </w:p>
        </w:tc>
      </w:tr>
      <w:tr>
        <w:tc>
          <w:tcPr/>
          <w:p>
            <w:pPr>
              <w:pStyle w:val="Compact"/>
              <w:jc w:val="center"/>
            </w:pPr>
            <w:r>
              <w:rPr>
                <w:b/>
                <w:bCs/>
              </w:rPr>
              <w:t xml:space="preserve">04</w:t>
            </w:r>
          </w:p>
        </w:tc>
        <w:tc>
          <w:tcPr/>
          <w:p>
            <w:pPr>
              <w:pStyle w:val="Compact"/>
              <w:jc w:val="left"/>
            </w:pPr>
            <w:r>
              <w:rPr>
                <w:b/>
                <w:bCs/>
              </w:rPr>
              <w:t xml:space="preserve">İZSU General Directorate</w:t>
            </w:r>
            <w:r>
              <w:t xml:space="preserve"> </w:t>
            </w:r>
            <w:r>
              <w:t xml:space="preserve">(İBB)</w:t>
            </w:r>
          </w:p>
        </w:tc>
        <w:tc>
          <w:tcPr/>
          <w:p>
            <w:pPr>
              <w:pStyle w:val="Compact"/>
              <w:jc w:val="left"/>
            </w:pPr>
            <w:r>
              <w:t xml:space="preserve">Primary drinking water transmission mains, treatment plants, booster pumping stations, and pressure reducing valves (PRVs).</w:t>
            </w:r>
          </w:p>
        </w:tc>
        <w:tc>
          <w:tcPr/>
          <w:p>
            <w:pPr>
              <w:pStyle w:val="Compact"/>
              <w:jc w:val="left"/>
            </w:pPr>
            <w:r>
              <w:t xml:space="preserve">GIS (.gdb / .shp)</w:t>
            </w:r>
          </w:p>
        </w:tc>
        <w:tc>
          <w:tcPr/>
          <w:p>
            <w:pPr>
              <w:pStyle w:val="Compact"/>
              <w:jc w:val="left"/>
            </w:pPr>
            <w:r>
              <w:t xml:space="preserve">Single Point of Failure (SPoF) Analysis &amp; Water Supply Disruption Modeling</w:t>
            </w:r>
          </w:p>
        </w:tc>
        <w:tc>
          <w:tcPr/>
          <w:p>
            <w:pPr>
              <w:pStyle w:val="Compact"/>
              <w:jc w:val="center"/>
            </w:pPr>
            <w:r>
              <w:rPr>
                <w:b/>
                <w:bCs/>
              </w:rPr>
              <w:t xml:space="preserve">High (P2)</w:t>
            </w:r>
          </w:p>
        </w:tc>
      </w:tr>
      <w:tr>
        <w:tc>
          <w:tcPr/>
          <w:p>
            <w:pPr>
              <w:pStyle w:val="Compact"/>
              <w:jc w:val="center"/>
            </w:pPr>
            <w:r>
              <w:rPr>
                <w:b/>
                <w:bCs/>
              </w:rPr>
              <w:t xml:space="preserve">05</w:t>
            </w:r>
          </w:p>
        </w:tc>
        <w:tc>
          <w:tcPr/>
          <w:p>
            <w:pPr>
              <w:pStyle w:val="Compact"/>
              <w:jc w:val="left"/>
            </w:pPr>
            <w:r>
              <w:rPr>
                <w:b/>
                <w:bCs/>
              </w:rPr>
              <w:t xml:space="preserve">İzmir Transportation Center (İZUM)</w:t>
            </w:r>
          </w:p>
        </w:tc>
        <w:tc>
          <w:tcPr/>
          <w:p>
            <w:pPr>
              <w:pStyle w:val="Compact"/>
              <w:jc w:val="left"/>
            </w:pPr>
            <w:r>
              <w:t xml:space="preserve">Arterial intersection vehicle counts, corridor average travel speeds, and Level of Service (LOS) records.</w:t>
            </w:r>
          </w:p>
        </w:tc>
        <w:tc>
          <w:tcPr/>
          <w:p>
            <w:pPr>
              <w:pStyle w:val="Compact"/>
              <w:jc w:val="left"/>
            </w:pPr>
            <w:r>
              <w:t xml:space="preserve">API / Hourly CSV</w:t>
            </w:r>
          </w:p>
        </w:tc>
        <w:tc>
          <w:tcPr/>
          <w:p>
            <w:pPr>
              <w:pStyle w:val="Compact"/>
              <w:jc w:val="left"/>
            </w:pPr>
            <w:r>
              <w:t xml:space="preserve">Value of Time (VOT) &amp; Detour / Evacuation Travel Delay Feasibility</w:t>
            </w:r>
          </w:p>
        </w:tc>
        <w:tc>
          <w:tcPr/>
          <w:p>
            <w:pPr>
              <w:pStyle w:val="Compact"/>
              <w:jc w:val="center"/>
            </w:pPr>
            <w:r>
              <w:rPr>
                <w:b/>
                <w:bCs/>
              </w:rPr>
              <w:t xml:space="preserve">High (P2)</w:t>
            </w:r>
          </w:p>
        </w:tc>
      </w:tr>
      <w:tr>
        <w:tc>
          <w:tcPr/>
          <w:p>
            <w:pPr>
              <w:pStyle w:val="Compact"/>
              <w:jc w:val="center"/>
            </w:pPr>
            <w:r>
              <w:rPr>
                <w:b/>
                <w:bCs/>
              </w:rPr>
              <w:t xml:space="preserve">06</w:t>
            </w:r>
          </w:p>
        </w:tc>
        <w:tc>
          <w:tcPr/>
          <w:p>
            <w:pPr>
              <w:pStyle w:val="Compact"/>
              <w:jc w:val="left"/>
            </w:pPr>
            <w:r>
              <w:rPr>
                <w:b/>
                <w:bCs/>
              </w:rPr>
              <w:t xml:space="preserve">Ministry of Environment, Urbanization and Climate Change</w:t>
            </w:r>
          </w:p>
        </w:tc>
        <w:tc>
          <w:tcPr/>
          <w:p>
            <w:pPr>
              <w:pStyle w:val="Compact"/>
              <w:jc w:val="left"/>
            </w:pPr>
            <w:r>
              <w:t xml:space="preserve">Official 2026 unit costs for building retrofitting and reconstruction (USD/m² or TL/m² for structural classes III-B, IV-A, IV-C).</w:t>
            </w:r>
          </w:p>
        </w:tc>
        <w:tc>
          <w:tcPr/>
          <w:p>
            <w:pPr>
              <w:pStyle w:val="Compact"/>
              <w:jc w:val="left"/>
            </w:pPr>
            <w:r>
              <w:t xml:space="preserve">Official Decree / Gazette</w:t>
            </w:r>
          </w:p>
        </w:tc>
        <w:tc>
          <w:tcPr/>
          <w:p>
            <w:pPr>
              <w:pStyle w:val="Compact"/>
              <w:jc w:val="left"/>
            </w:pPr>
            <w:r>
              <w:t xml:space="preserve">Validation of Strategy S-02 Building Retrofit CAPEX &amp; NPV</w:t>
            </w:r>
          </w:p>
        </w:tc>
        <w:tc>
          <w:tcPr/>
          <w:p>
            <w:pPr>
              <w:pStyle w:val="Compact"/>
              <w:jc w:val="center"/>
            </w:pPr>
            <w:r>
              <w:rPr>
                <w:b/>
                <w:bCs/>
              </w:rPr>
              <w:t xml:space="preserve">High (P2)</w:t>
            </w:r>
          </w:p>
        </w:tc>
      </w:tr>
      <w:tr>
        <w:tc>
          <w:tcPr/>
          <w:p>
            <w:pPr>
              <w:pStyle w:val="Compact"/>
              <w:jc w:val="center"/>
            </w:pPr>
            <w:r>
              <w:rPr>
                <w:b/>
                <w:bCs/>
              </w:rPr>
              <w:t xml:space="preserve">07</w:t>
            </w:r>
          </w:p>
        </w:tc>
        <w:tc>
          <w:tcPr/>
          <w:p>
            <w:pPr>
              <w:pStyle w:val="Compact"/>
              <w:jc w:val="left"/>
            </w:pPr>
            <w:r>
              <w:rPr>
                <w:b/>
                <w:bCs/>
              </w:rPr>
              <w:t xml:space="preserve">Chambers of Industry &amp; Commerce</w:t>
            </w:r>
            <w:r>
              <w:t xml:space="preserve"> </w:t>
            </w:r>
            <w:r>
              <w:t xml:space="preserve">(EBSO/İZTO)</w:t>
            </w:r>
          </w:p>
        </w:tc>
        <w:tc>
          <w:tcPr/>
          <w:p>
            <w:pPr>
              <w:pStyle w:val="Compact"/>
              <w:jc w:val="left"/>
            </w:pPr>
            <w:r>
              <w:t xml:space="preserve">Organized Industrial Zones (Aliağa, Çiğli, Torbalı, Kemalpaşa) average daily gross output / value-added loss coefficients.</w:t>
            </w:r>
          </w:p>
        </w:tc>
        <w:tc>
          <w:tcPr/>
          <w:p>
            <w:pPr>
              <w:pStyle w:val="Compact"/>
              <w:jc w:val="left"/>
            </w:pPr>
            <w:r>
              <w:t xml:space="preserve">Sectoral Statistical Report</w:t>
            </w:r>
          </w:p>
        </w:tc>
        <w:tc>
          <w:tcPr/>
          <w:p>
            <w:pPr>
              <w:pStyle w:val="Compact"/>
              <w:jc w:val="left"/>
            </w:pPr>
            <w:r>
              <w:t xml:space="preserve">Business Interruption (BI) Multipliers</w:t>
            </w:r>
          </w:p>
        </w:tc>
        <w:tc>
          <w:tcPr/>
          <w:p>
            <w:pPr>
              <w:pStyle w:val="Compact"/>
              <w:jc w:val="center"/>
            </w:pPr>
            <w:r>
              <w:rPr>
                <w:b/>
                <w:bCs/>
              </w:rPr>
              <w:t xml:space="preserve">Medium (P3)</w:t>
            </w:r>
          </w:p>
        </w:tc>
      </w:tr>
      <w:tr>
        <w:tc>
          <w:tcPr/>
          <w:p>
            <w:pPr>
              <w:pStyle w:val="Compact"/>
              <w:jc w:val="center"/>
            </w:pPr>
            <w:r>
              <w:rPr>
                <w:b/>
                <w:bCs/>
              </w:rPr>
              <w:t xml:space="preserve">08</w:t>
            </w:r>
          </w:p>
        </w:tc>
        <w:tc>
          <w:tcPr/>
          <w:p>
            <w:pPr>
              <w:pStyle w:val="Compact"/>
              <w:jc w:val="left"/>
            </w:pPr>
            <w:r>
              <w:rPr>
                <w:b/>
                <w:bCs/>
              </w:rPr>
              <w:t xml:space="preserve">MTA &amp; AFAD Earthquake Department</w:t>
            </w:r>
          </w:p>
        </w:tc>
        <w:tc>
          <w:tcPr/>
          <w:p>
            <w:pPr>
              <w:pStyle w:val="Compact"/>
              <w:jc w:val="left"/>
            </w:pPr>
            <w:r>
              <w:t xml:space="preserve">Geotechnical borehole database (</w:t>
            </w:r>
            <m:oMath>
              <m:sSub>
                <m:e>
                  <m:r>
                    <m:t>V</m:t>
                  </m:r>
                </m:e>
                <m:sub>
                  <m:r>
                    <m:t>s</m:t>
                  </m:r>
                  <m:r>
                    <m:t>30</m:t>
                  </m:r>
                </m:sub>
              </m:sSub>
            </m:oMath>
            <w:r>
              <w:t xml:space="preserve">, ZD-ZE soil classification, site fundamental periods).</w:t>
            </w:r>
          </w:p>
        </w:tc>
        <w:tc>
          <w:tcPr/>
          <w:p>
            <w:pPr>
              <w:pStyle w:val="Compact"/>
              <w:jc w:val="left"/>
            </w:pPr>
            <w:r>
              <w:t xml:space="preserve">Borehole Registry (.xlsx)</w:t>
            </w:r>
          </w:p>
        </w:tc>
        <w:tc>
          <w:tcPr/>
          <w:p>
            <w:pPr>
              <w:pStyle w:val="Compact"/>
              <w:jc w:val="left"/>
            </w:pPr>
            <w:r>
              <w:t xml:space="preserve">Microzonation &amp; Site Amplification Metric (</w:t>
            </w:r>
            <m:oMath>
              <m:r>
                <m:t>H</m:t>
              </m:r>
            </m:oMath>
            <w:r>
              <w:t xml:space="preserve">) Refinement</w:t>
            </w:r>
          </w:p>
        </w:tc>
        <w:tc>
          <w:tcPr/>
          <w:p>
            <w:pPr>
              <w:pStyle w:val="Compact"/>
              <w:jc w:val="center"/>
            </w:pPr>
            <w:r>
              <w:rPr>
                <w:b/>
                <w:bCs/>
              </w:rPr>
              <w:t xml:space="preserve">Medium (P3)</w:t>
            </w:r>
          </w:p>
        </w:tc>
      </w:tr>
    </w:tbl>
    <w:p>
      <w:r>
        <w:pict>
          <v:rect style="width:0;height:1.5pt" o:hralign="center" o:hrstd="t" o:hr="t"/>
        </w:pict>
      </w:r>
    </w:p>
    <w:bookmarkEnd w:id="12"/>
    <w:bookmarkStart w:id="16" w:name="X36d777823dc1eda5d855e613973ec6c72fb78a4"/>
    <w:p>
      <w:pPr>
        <w:pStyle w:val="Heading2"/>
      </w:pPr>
      <w:r>
        <w:t xml:space="preserve">3. ECONOMETRIC PARAMETERS FOR ASSOC. PROF. DR. İSMAİL ÇAĞRI ÖZCAN CBA MODEL</w:t>
      </w:r>
    </w:p>
    <w:p>
      <w:pPr>
        <w:pStyle w:val="FirstParagraph"/>
      </w:pPr>
      <w:r>
        <w:t xml:space="preserve">To bring the Cost-Benefit Analysis (CBA) to World Bank Investment Committee appraisal standards, the following econometric parameter set has been harmonized:</w:t>
      </w:r>
    </w:p>
    <w:bookmarkStart w:id="13" w:name="value-of-statistical-life-vsl"/>
    <w:p>
      <w:pPr>
        <w:pStyle w:val="Heading3"/>
      </w:pPr>
      <w:r>
        <w:t xml:space="preserve">3.1. Value of Statistical Life (VSL)</w:t>
      </w:r>
    </w:p>
    <w:p>
      <w:pPr>
        <w:pStyle w:val="Compact"/>
        <w:numPr>
          <w:ilvl w:val="0"/>
          <w:numId w:val="1001"/>
        </w:numPr>
      </w:pPr>
      <w:r>
        <w:rPr>
          <w:b/>
          <w:bCs/>
        </w:rPr>
        <w:t xml:space="preserve">World Bank Türkiye Baseline Benchmark:</w:t>
      </w:r>
      <w:r>
        <w:t xml:space="preserve"> </w:t>
      </w:r>
      <w:r>
        <w:t xml:space="preserve">USD 1,450,000 (Purchasing Power Parity - PPP adjusted).</w:t>
      </w:r>
    </w:p>
    <w:p>
      <w:pPr>
        <w:pStyle w:val="Compact"/>
        <w:numPr>
          <w:ilvl w:val="0"/>
          <w:numId w:val="1001"/>
        </w:numPr>
      </w:pPr>
      <w:r>
        <w:rPr>
          <w:b/>
          <w:bCs/>
        </w:rPr>
        <w:t xml:space="preserve">İzmir Regional GDP-Adjusted Value (Recommended):</w:t>
      </w:r>
      <w:r>
        <w:t xml:space="preserve"> </w:t>
      </w:r>
      <w:r>
        <w:rPr>
          <w:b/>
          <w:bCs/>
        </w:rPr>
        <w:t xml:space="preserve">USD 1,820,000</w:t>
      </w:r>
      <w:r>
        <w:br/>
      </w:r>
      <w:r>
        <w:rPr>
          <w:i/>
          <w:iCs/>
        </w:rPr>
        <w:t xml:space="preserve">(Justification: According to TurkStat 2024 Provincial Per Capita GDP data, İzmir exceeds the national average by +25.8%, reflecting higher regional human capital and urban economic concentration).</w:t>
      </w:r>
    </w:p>
    <w:p>
      <w:pPr>
        <w:pStyle w:val="Compact"/>
        <w:numPr>
          <w:ilvl w:val="0"/>
          <w:numId w:val="1001"/>
        </w:numPr>
      </w:pPr>
      <w:r>
        <w:rPr>
          <w:b/>
          <w:bCs/>
        </w:rPr>
        <w:t xml:space="preserve">Conservative Lower Bound:</w:t>
      </w:r>
      <w:r>
        <w:t xml:space="preserve"> </w:t>
      </w:r>
      <w:r>
        <w:t xml:space="preserve">USD 950,000 (Direct statutory compensation and emergency medical care floor).</w:t>
      </w:r>
    </w:p>
    <w:bookmarkEnd w:id="13"/>
    <w:bookmarkStart w:id="14" w:name="X565aad90d3d5a1ac9b874d1ee062fe21fe41eb0"/>
    <w:p>
      <w:pPr>
        <w:pStyle w:val="Heading3"/>
      </w:pPr>
      <w:r>
        <w:t xml:space="preserve">3.2. Social Discount Rate (</w:t>
      </w:r>
      <m:oMath>
        <m:r>
          <m:t>r</m:t>
        </m:r>
      </m:oMath>
      <w:r>
        <w:t xml:space="preserve">) and Evaluation Horizon (</w:t>
      </w:r>
      <m:oMath>
        <m:r>
          <m:t>T</m:t>
        </m:r>
      </m:oMath>
      <w:r>
        <w:t xml:space="preserve">)</w:t>
      </w:r>
    </w:p>
    <w:p>
      <w:pPr>
        <w:pStyle w:val="Compact"/>
        <w:numPr>
          <w:ilvl w:val="0"/>
          <w:numId w:val="1002"/>
        </w:numPr>
      </w:pPr>
      <w:r>
        <w:rPr>
          <w:b/>
          <w:bCs/>
        </w:rPr>
        <w:t xml:space="preserve">Central Baseline Scenario:</w:t>
      </w:r>
      <w:r>
        <w:t xml:space="preserve"> </w:t>
      </w:r>
      <m:oMath>
        <m:r>
          <m:t>r</m:t>
        </m:r>
        <m:r>
          <m:rPr>
            <m:sty m:val="p"/>
          </m:rPr>
          <m:t>=</m:t>
        </m:r>
        <m:r>
          <m:t>5.0</m:t>
        </m:r>
        <m:r>
          <m:rPr>
            <m:sty m:val="p"/>
          </m:rPr>
          <m:t>%</m:t>
        </m:r>
        <m:r>
          <m:rPr>
            <m:sty m:val="p"/>
          </m:rPr>
          <m:t>–</m:t>
        </m:r>
        <m:r>
          <m:t>6.0</m:t>
        </m:r>
        <m:r>
          <m:rPr>
            <m:sty m:val="p"/>
          </m:rPr>
          <m:t>%</m:t>
        </m:r>
      </m:oMath>
      <w:r>
        <w:t xml:space="preserve">, Time Horizon</w:t>
      </w:r>
      <w:r>
        <w:t xml:space="preserve"> </w:t>
      </w:r>
      <m:oMath>
        <m:r>
          <m:t>T</m:t>
        </m:r>
        <m:r>
          <m:rPr>
            <m:sty m:val="p"/>
          </m:rPr>
          <m:t>=</m:t>
        </m:r>
        <m:r>
          <m:t>25</m:t>
        </m:r>
      </m:oMath>
      <w:r>
        <w:t xml:space="preserve"> </w:t>
      </w:r>
      <w:r>
        <w:t xml:space="preserve">Years.</w:t>
      </w:r>
    </w:p>
    <w:p>
      <w:pPr>
        <w:pStyle w:val="Compact"/>
        <w:numPr>
          <w:ilvl w:val="0"/>
          <w:numId w:val="1002"/>
        </w:numPr>
      </w:pPr>
      <w:r>
        <w:rPr>
          <w:b/>
          <w:bCs/>
        </w:rPr>
        <w:t xml:space="preserve">Sensitivity Boundaries:</w:t>
      </w:r>
      <w:r>
        <w:t xml:space="preserve"> </w:t>
      </w:r>
      <m:oMath>
        <m:r>
          <m:t>r</m:t>
        </m:r>
        <m:r>
          <m:rPr>
            <m:sty m:val="p"/>
          </m:rPr>
          <m:t>=</m:t>
        </m:r>
        <m:r>
          <m:t>3.0</m:t>
        </m:r>
        <m:r>
          <m:rPr>
            <m:sty m:val="p"/>
          </m:rPr>
          <m:t>%</m:t>
        </m:r>
      </m:oMath>
      <w:r>
        <w:t xml:space="preserve"> </w:t>
      </w:r>
      <w:r>
        <w:t xml:space="preserve">(Intergenerational resilience / green infrastructure) to</w:t>
      </w:r>
      <w:r>
        <w:t xml:space="preserve"> </w:t>
      </w:r>
      <m:oMath>
        <m:r>
          <m:t>r</m:t>
        </m:r>
        <m:r>
          <m:rPr>
            <m:sty m:val="p"/>
          </m:rPr>
          <m:t>=</m:t>
        </m:r>
        <m:r>
          <m:t>10.0</m:t>
        </m:r>
        <m:r>
          <m:rPr>
            <m:sty m:val="p"/>
          </m:rPr>
          <m:t>%</m:t>
        </m:r>
      </m:oMath>
      <w:r>
        <w:t xml:space="preserve"> </w:t>
      </w:r>
      <w:r>
        <w:t xml:space="preserve">(Stringent capital opportunity cost).</w:t>
      </w:r>
    </w:p>
    <w:bookmarkEnd w:id="14"/>
    <w:bookmarkStart w:id="15" w:name="business-interruption-multiplier-bi"/>
    <w:p>
      <w:pPr>
        <w:pStyle w:val="Heading3"/>
      </w:pPr>
      <w:r>
        <w:t xml:space="preserve">3.3. Business Interruption Multiplier (</w:t>
      </w:r>
      <m:oMath>
        <m:r>
          <m:t>B</m:t>
        </m:r>
        <m:r>
          <m:t>I</m:t>
        </m:r>
      </m:oMath>
      <w:r>
        <w:t xml:space="preserve">)</w:t>
      </w:r>
    </w:p>
    <w:p>
      <w:pPr>
        <w:pStyle w:val="Compact"/>
        <w:numPr>
          <w:ilvl w:val="0"/>
          <w:numId w:val="1003"/>
        </w:numPr>
      </w:pPr>
      <w:r>
        <w:rPr>
          <w:b/>
          <w:bCs/>
        </w:rPr>
        <w:t xml:space="preserve">Standard Urban Area:</w:t>
      </w:r>
      <w:r>
        <w:t xml:space="preserve"> </w:t>
      </w:r>
      <m:oMath>
        <m:r>
          <m:t>1.20</m:t>
        </m:r>
        <m:r>
          <m:rPr>
            <m:sty m:val="p"/>
          </m:rPr>
          <m:t>×</m:t>
        </m:r>
      </m:oMath>
      <w:r>
        <w:t xml:space="preserve"> </w:t>
      </w:r>
      <w:r>
        <w:t xml:space="preserve">direct physical asset damage.</w:t>
      </w:r>
    </w:p>
    <w:p>
      <w:pPr>
        <w:pStyle w:val="Compact"/>
        <w:numPr>
          <w:ilvl w:val="0"/>
          <w:numId w:val="1003"/>
        </w:numPr>
      </w:pPr>
      <w:r>
        <w:rPr>
          <w:b/>
          <w:bCs/>
        </w:rPr>
        <w:t xml:space="preserve">Critical Industrial &amp; Logistics Corridor (Aliağa - Menemen - Torbalı):</w:t>
      </w:r>
      <w:r>
        <w:t xml:space="preserve"> </w:t>
      </w:r>
      <m:oMath>
        <m:r>
          <m:t>1.65</m:t>
        </m:r>
        <m:r>
          <m:rPr>
            <m:sty m:val="p"/>
          </m:rPr>
          <m:t>×</m:t>
        </m:r>
        <m:r>
          <m:rPr>
            <m:sty m:val="p"/>
          </m:rPr>
          <m:t>–</m:t>
        </m:r>
        <m:r>
          <m:t>2.20</m:t>
        </m:r>
        <m:r>
          <m:rPr>
            <m:sty m:val="p"/>
          </m:rPr>
          <m:t>×</m:t>
        </m:r>
      </m:oMath>
      <w:r>
        <w:t xml:space="preserve"> </w:t>
      </w:r>
      <w:r>
        <w:t xml:space="preserve">(Accounting for port disruption and supply chain spillovers).</w:t>
      </w:r>
    </w:p>
    <w:p>
      <w:r>
        <w:pict>
          <v:rect style="width:0;height:1.5pt" o:hralign="center" o:hrstd="t" o:hr="t"/>
        </w:pict>
      </w:r>
    </w:p>
    <w:bookmarkEnd w:id="15"/>
    <w:bookmarkEnd w:id="16"/>
    <w:bookmarkStart w:id="18" w:name="X280c10377a82eab01063a44cf7dbeabdbc278c6"/>
    <w:p>
      <w:pPr>
        <w:pStyle w:val="Heading2"/>
      </w:pPr>
      <w:r>
        <w:t xml:space="preserve">4. SHARED INSTITUTIONAL CLOUD (GOOGLE DRIVE / NEXTCLOUD) ARCHITECTURE</w:t>
      </w:r>
    </w:p>
    <w:p>
      <w:pPr>
        <w:pStyle w:val="FirstParagraph"/>
      </w:pPr>
      <w:r>
        <w:t xml:space="preserve">To address the requirements highlighted during the stakeholder coordination meeting—namely data confidentiality, avoidance of version collision, and seamless cross-disciplinary inspection among academic researchers—the following</w:t>
      </w:r>
      <w:r>
        <w:t xml:space="preserve"> </w:t>
      </w:r>
      <w:r>
        <w:rPr>
          <w:b/>
          <w:bCs/>
        </w:rPr>
        <w:t xml:space="preserve">5-Tier Folder Architecture</w:t>
      </w:r>
      <w:r>
        <w:t xml:space="preserve"> </w:t>
      </w:r>
      <w:r>
        <w:t xml:space="preserve">is established:</w:t>
      </w:r>
    </w:p>
    <w:p>
      <w:pPr>
        <w:pStyle w:val="SourceCode"/>
      </w:pPr>
      <w:r>
        <w:rPr>
          <w:rStyle w:val="VerbatimChar"/>
        </w:rPr>
        <w:t xml:space="preserve">[RESILIENT_IZMIR_CLOUD_ROOT]</w:t>
      </w:r>
      <w:r>
        <w:br/>
      </w:r>
      <w:r>
        <w:rPr>
          <w:rStyle w:val="VerbatimChar"/>
        </w:rPr>
        <w:t xml:space="preserve">│</w:t>
      </w:r>
      <w:r>
        <w:br/>
      </w:r>
      <w:r>
        <w:rPr>
          <w:rStyle w:val="VerbatimChar"/>
        </w:rPr>
        <w:t xml:space="preserve">├── 📁 01_RAW_INSTITUTIONAL_DATA (Read-Only Archive)</w:t>
      </w:r>
      <w:r>
        <w:br/>
      </w:r>
      <w:r>
        <w:rPr>
          <w:rStyle w:val="VerbatimChar"/>
        </w:rPr>
        <w:t xml:space="preserve">│   ├── 📁 AFAD_Official_Package_202609 (2.15 GB Original Repository)</w:t>
      </w:r>
      <w:r>
        <w:br/>
      </w:r>
      <w:r>
        <w:rPr>
          <w:rStyle w:val="VerbatimChar"/>
        </w:rPr>
        <w:t xml:space="preserve">│   ├── 📁 IBB_GIS_Layers (Assembly zones, fire stations, cemeteries)</w:t>
      </w:r>
      <w:r>
        <w:br/>
      </w:r>
      <w:r>
        <w:rPr>
          <w:rStyle w:val="VerbatimChar"/>
        </w:rPr>
        <w:t xml:space="preserve">│   ├── 📁 TUIK_2024_Demographics (Neighborhood demographics, age, building counts)</w:t>
      </w:r>
      <w:r>
        <w:br/>
      </w:r>
      <w:r>
        <w:rPr>
          <w:rStyle w:val="VerbatimChar"/>
        </w:rPr>
        <w:t xml:space="preserve">│   └── 📁 DASK_and_Building_Registers (2020 post-earthquake damage registry)</w:t>
      </w:r>
      <w:r>
        <w:br/>
      </w:r>
      <w:r>
        <w:rPr>
          <w:rStyle w:val="VerbatimChar"/>
        </w:rPr>
        <w:t xml:space="preserve">│</w:t>
      </w:r>
      <w:r>
        <w:br/>
      </w:r>
      <w:r>
        <w:rPr>
          <w:rStyle w:val="VerbatimChar"/>
        </w:rPr>
        <w:t xml:space="preserve">├── 📁 02_PREPROCESSED_EXPERT_LAYERS (Academic Domain Expert Workspace)</w:t>
      </w:r>
      <w:r>
        <w:br/>
      </w:r>
      <w:r>
        <w:rPr>
          <w:rStyle w:val="VerbatimChar"/>
        </w:rPr>
        <w:t xml:space="preserve">│   ├── 📁 Geo_Seismic_Hazard (PGA, active fault lines, liquefaction susceptibility)</w:t>
      </w:r>
      <w:r>
        <w:br/>
      </w:r>
      <w:r>
        <w:rPr>
          <w:rStyle w:val="VerbatimChar"/>
        </w:rPr>
        <w:t xml:space="preserve">│   ├── 📁 Hydro_Coastal_Flood (Flood discharge models, tsunami inundation)</w:t>
      </w:r>
      <w:r>
        <w:br/>
      </w:r>
      <w:r>
        <w:rPr>
          <w:rStyle w:val="VerbatimChar"/>
        </w:rPr>
        <w:t xml:space="preserve">│   ├── 📁 Structural_Building_Stock (Typology, floor heights, vintage cohorts)</w:t>
      </w:r>
      <w:r>
        <w:br/>
      </w:r>
      <w:r>
        <w:rPr>
          <w:rStyle w:val="VerbatimChar"/>
        </w:rPr>
        <w:t xml:space="preserve">│   ├── 📁 Transportation_Network (Road topology graph, bridges, SPoF nodes)</w:t>
      </w:r>
      <w:r>
        <w:br/>
      </w:r>
      <w:r>
        <w:rPr>
          <w:rStyle w:val="VerbatimChar"/>
        </w:rPr>
        <w:t xml:space="preserve">│   └── 📁 Critical_Infrastructure_Assets (991 facility structural attributes)</w:t>
      </w:r>
      <w:r>
        <w:br/>
      </w:r>
      <w:r>
        <w:rPr>
          <w:rStyle w:val="VerbatimChar"/>
        </w:rPr>
        <w:t xml:space="preserve">│</w:t>
      </w:r>
      <w:r>
        <w:br/>
      </w:r>
      <w:r>
        <w:rPr>
          <w:rStyle w:val="VerbatimChar"/>
        </w:rPr>
        <w:t xml:space="preserve">├── 📁 03_MULTI_HAZARD_SYNTHESIS (Multi-Hazard &amp; Vulnerability Integration)</w:t>
      </w:r>
      <w:r>
        <w:br/>
      </w:r>
      <w:r>
        <w:rPr>
          <w:rStyle w:val="VerbatimChar"/>
        </w:rPr>
        <w:t xml:space="preserve">│   ├── 📁 F_BWM_Weights_and_Matrices (Weight matrices, consistency ratios)</w:t>
      </w:r>
      <w:r>
        <w:br/>
      </w:r>
      <w:r>
        <w:rPr>
          <w:rStyle w:val="VerbatimChar"/>
        </w:rPr>
        <w:t xml:space="preserve">│   ├── 📁 Master_GeoJSON_1317 (1,317 neighborhoods canonical attribute matrix)</w:t>
      </w:r>
      <w:r>
        <w:br/>
      </w:r>
      <w:r>
        <w:rPr>
          <w:rStyle w:val="VerbatimChar"/>
        </w:rPr>
        <w:t xml:space="preserve">│   └── 📁 Priority_Tiers_A_B_C (Tier-A/B/C core hotspot spatial polygons)</w:t>
      </w:r>
      <w:r>
        <w:br/>
      </w:r>
      <w:r>
        <w:rPr>
          <w:rStyle w:val="VerbatimChar"/>
        </w:rPr>
        <w:t xml:space="preserve">│</w:t>
      </w:r>
      <w:r>
        <w:br/>
      </w:r>
      <w:r>
        <w:rPr>
          <w:rStyle w:val="VerbatimChar"/>
        </w:rPr>
        <w:t xml:space="preserve">├── 📁 04_CBA_AND_FEASIBILITY (Assoc. Prof. Dr. İsmail Çağrı Özcan Workspace)</w:t>
      </w:r>
      <w:r>
        <w:br/>
      </w:r>
      <w:r>
        <w:rPr>
          <w:rStyle w:val="VerbatimChar"/>
        </w:rPr>
        <w:t xml:space="preserve">│   ├── 📁 Input_Financial_Parameters (VSL, unit construction rates, discount series)</w:t>
      </w:r>
      <w:r>
        <w:br/>
      </w:r>
      <w:r>
        <w:rPr>
          <w:rStyle w:val="VerbatimChar"/>
        </w:rPr>
        <w:t xml:space="preserve">│   ├── 📁 Damage_Loss_Functions (Fragility curves, direct/indirect losses)</w:t>
      </w:r>
      <w:r>
        <w:br/>
      </w:r>
      <w:r>
        <w:rPr>
          <w:rStyle w:val="VerbatimChar"/>
        </w:rPr>
        <w:t xml:space="preserve">│   └── 📁 Investment_Packages_S01_S06 (CAPEX, OPEX, BCR, NPV model outputs)</w:t>
      </w:r>
      <w:r>
        <w:br/>
      </w:r>
      <w:r>
        <w:rPr>
          <w:rStyle w:val="VerbatimChar"/>
        </w:rPr>
        <w:t xml:space="preserve">│</w:t>
      </w:r>
      <w:r>
        <w:br/>
      </w:r>
      <w:r>
        <w:rPr>
          <w:rStyle w:val="VerbatimChar"/>
        </w:rPr>
        <w:t xml:space="preserve">└── 📁 05_EXECUTIVE_DELIVERABLES (Official Deliverable Packages &amp; Web Distribution)</w:t>
      </w:r>
      <w:r>
        <w:br/>
      </w:r>
      <w:r>
        <w:rPr>
          <w:rStyle w:val="VerbatimChar"/>
        </w:rPr>
        <w:t xml:space="preserve">    ├── 📁 Technical_Reports_PDF_DOCX (D1.1, D1.2, CBA Reports - TR &amp; EN)</w:t>
      </w:r>
      <w:r>
        <w:br/>
      </w:r>
      <w:r>
        <w:rPr>
          <w:rStyle w:val="VerbatimChar"/>
        </w:rPr>
        <w:t xml:space="preserve">    ├── 📁 Coordination_Toolkits_XLSX (Indicator matrices, Gantt schedules)</w:t>
      </w:r>
      <w:r>
        <w:br/>
      </w:r>
      <w:r>
        <w:rPr>
          <w:rStyle w:val="VerbatimChar"/>
        </w:rPr>
        <w:t xml:space="preserve">    ├── 📁 HighRes_Atlas_300DPI (51+ thematic maps and cartographic atlas)</w:t>
      </w:r>
      <w:r>
        <w:br/>
      </w:r>
      <w:r>
        <w:rPr>
          <w:rStyle w:val="VerbatimChar"/>
        </w:rPr>
        <w:t xml:space="preserve">    └── 📁 Web_Platform_Releases (Cloudflare Pages live release bundles)</w:t>
      </w:r>
    </w:p>
    <w:bookmarkStart w:id="17" w:name="access-rights-and-governance-matrix"/>
    <w:p>
      <w:pPr>
        <w:pStyle w:val="Heading3"/>
      </w:pPr>
      <w:r>
        <w:t xml:space="preserve">4.1. Access Rights and Governance Matrix</w:t>
      </w:r>
    </w:p>
    <w:tbl>
      <w:tblPr>
        <w:tblStyle w:val="Table"/>
        <w:tblW w:type="pct" w:w="5000"/>
        <w:tblLayout w:type="fixed"/>
        <w:tblLook w:firstRow="1" w:lastRow="0" w:firstColumn="0" w:lastColumn="0" w:noHBand="0" w:noVBand="0" w:val="0020"/>
      </w:tblPr>
      <w:tblGrid>
        <w:gridCol w:w="960"/>
        <w:gridCol w:w="960"/>
        <w:gridCol w:w="1200"/>
        <w:gridCol w:w="1200"/>
        <w:gridCol w:w="1200"/>
        <w:gridCol w:w="1200"/>
        <w:gridCol w:w="1200"/>
      </w:tblGrid>
      <w:tr>
        <w:trPr>
          <w:tblHeader w:val="on"/>
        </w:trPr>
        <w:tc>
          <w:tcPr/>
          <w:p>
            <w:pPr>
              <w:pStyle w:val="Compact"/>
              <w:jc w:val="left"/>
            </w:pPr>
            <w:r>
              <w:t xml:space="preserve">Role</w:t>
            </w:r>
          </w:p>
        </w:tc>
        <w:tc>
          <w:tcPr/>
          <w:p>
            <w:pPr>
              <w:pStyle w:val="Compact"/>
              <w:jc w:val="left"/>
            </w:pPr>
            <w:r>
              <w:t xml:space="preserve">Authorized Groups</w:t>
            </w:r>
          </w:p>
        </w:tc>
        <w:tc>
          <w:tcPr/>
          <w:p>
            <w:pPr>
              <w:pStyle w:val="Compact"/>
              <w:jc w:val="center"/>
            </w:pPr>
            <w:r>
              <w:t xml:space="preserve">01_RAW</w:t>
            </w:r>
          </w:p>
        </w:tc>
        <w:tc>
          <w:tcPr/>
          <w:p>
            <w:pPr>
              <w:pStyle w:val="Compact"/>
              <w:jc w:val="center"/>
            </w:pPr>
            <w:r>
              <w:t xml:space="preserve">02_EXPERT</w:t>
            </w:r>
          </w:p>
        </w:tc>
        <w:tc>
          <w:tcPr/>
          <w:p>
            <w:pPr>
              <w:pStyle w:val="Compact"/>
              <w:jc w:val="center"/>
            </w:pPr>
            <w:r>
              <w:t xml:space="preserve">03_SYNTHESIS</w:t>
            </w:r>
          </w:p>
        </w:tc>
        <w:tc>
          <w:tcPr/>
          <w:p>
            <w:pPr>
              <w:pStyle w:val="Compact"/>
              <w:jc w:val="center"/>
            </w:pPr>
            <w:r>
              <w:t xml:space="preserve">04_CBA</w:t>
            </w:r>
          </w:p>
        </w:tc>
        <w:tc>
          <w:tcPr/>
          <w:p>
            <w:pPr>
              <w:pStyle w:val="Compact"/>
              <w:jc w:val="center"/>
            </w:pPr>
            <w:r>
              <w:t xml:space="preserve">05_DELIVERABLES</w:t>
            </w:r>
          </w:p>
        </w:tc>
      </w:tr>
      <w:tr>
        <w:tc>
          <w:tcPr/>
          <w:p>
            <w:pPr>
              <w:pStyle w:val="Compact"/>
              <w:jc w:val="left"/>
            </w:pPr>
            <w:r>
              <w:rPr>
                <w:b/>
                <w:bCs/>
              </w:rPr>
              <w:t xml:space="preserve">Principal Investigator</w:t>
            </w:r>
          </w:p>
        </w:tc>
        <w:tc>
          <w:tcPr/>
          <w:p>
            <w:pPr>
              <w:pStyle w:val="Compact"/>
              <w:jc w:val="left"/>
            </w:pPr>
            <w:r>
              <w:t xml:space="preserve">Prof. Dr. Evren Erdin, Project Director</w:t>
            </w:r>
          </w:p>
        </w:tc>
        <w:tc>
          <w:tcPr/>
          <w:p>
            <w:pPr>
              <w:pStyle w:val="Compact"/>
              <w:jc w:val="center"/>
            </w:pPr>
            <w:r>
              <w:t xml:space="preserve">Full Access</w:t>
            </w:r>
          </w:p>
        </w:tc>
        <w:tc>
          <w:tcPr/>
          <w:p>
            <w:pPr>
              <w:pStyle w:val="Compact"/>
              <w:jc w:val="center"/>
            </w:pPr>
            <w:r>
              <w:t xml:space="preserve">Full Access</w:t>
            </w:r>
          </w:p>
        </w:tc>
        <w:tc>
          <w:tcPr/>
          <w:p>
            <w:pPr>
              <w:pStyle w:val="Compact"/>
              <w:jc w:val="center"/>
            </w:pPr>
            <w:r>
              <w:t xml:space="preserve">Full Access</w:t>
            </w:r>
          </w:p>
        </w:tc>
        <w:tc>
          <w:tcPr/>
          <w:p>
            <w:pPr>
              <w:pStyle w:val="Compact"/>
              <w:jc w:val="center"/>
            </w:pPr>
            <w:r>
              <w:t xml:space="preserve">Full Access</w:t>
            </w:r>
          </w:p>
        </w:tc>
        <w:tc>
          <w:tcPr/>
          <w:p>
            <w:pPr>
              <w:pStyle w:val="Compact"/>
              <w:jc w:val="center"/>
            </w:pPr>
            <w:r>
              <w:t xml:space="preserve">Full Access</w:t>
            </w:r>
          </w:p>
        </w:tc>
      </w:tr>
      <w:tr>
        <w:tc>
          <w:tcPr/>
          <w:p>
            <w:pPr>
              <w:pStyle w:val="Compact"/>
              <w:jc w:val="left"/>
            </w:pPr>
            <w:r>
              <w:rPr>
                <w:b/>
                <w:bCs/>
              </w:rPr>
              <w:t xml:space="preserve">Domain Experts</w:t>
            </w:r>
          </w:p>
        </w:tc>
        <w:tc>
          <w:tcPr/>
          <w:p>
            <w:pPr>
              <w:pStyle w:val="Compact"/>
              <w:jc w:val="left"/>
            </w:pPr>
            <w:r>
              <w:t xml:space="preserve">Seismology, Hydrology, Transportation, Structural Faculty</w:t>
            </w:r>
          </w:p>
        </w:tc>
        <w:tc>
          <w:tcPr/>
          <w:p>
            <w:pPr>
              <w:pStyle w:val="Compact"/>
              <w:jc w:val="center"/>
            </w:pPr>
            <w:r>
              <w:t xml:space="preserve">Read</w:t>
            </w:r>
          </w:p>
        </w:tc>
        <w:tc>
          <w:tcPr/>
          <w:p>
            <w:pPr>
              <w:pStyle w:val="Compact"/>
              <w:jc w:val="center"/>
            </w:pPr>
            <w:r>
              <w:rPr>
                <w:b/>
                <w:bCs/>
              </w:rPr>
              <w:t xml:space="preserve">Write / Upload</w:t>
            </w:r>
          </w:p>
        </w:tc>
        <w:tc>
          <w:tcPr/>
          <w:p>
            <w:pPr>
              <w:pStyle w:val="Compact"/>
              <w:jc w:val="center"/>
            </w:pPr>
            <w:r>
              <w:t xml:space="preserve">Read</w:t>
            </w:r>
          </w:p>
        </w:tc>
        <w:tc>
          <w:tcPr/>
          <w:p>
            <w:pPr>
              <w:pStyle w:val="Compact"/>
              <w:jc w:val="center"/>
            </w:pPr>
            <w:r>
              <w:t xml:space="preserve">Read</w:t>
            </w:r>
          </w:p>
        </w:tc>
        <w:tc>
          <w:tcPr/>
          <w:p>
            <w:pPr>
              <w:pStyle w:val="Compact"/>
              <w:jc w:val="center"/>
            </w:pPr>
            <w:r>
              <w:t xml:space="preserve">Read</w:t>
            </w:r>
          </w:p>
        </w:tc>
      </w:tr>
      <w:tr>
        <w:tc>
          <w:tcPr/>
          <w:p>
            <w:pPr>
              <w:pStyle w:val="Compact"/>
              <w:jc w:val="left"/>
            </w:pPr>
            <w:r>
              <w:rPr>
                <w:b/>
                <w:bCs/>
              </w:rPr>
              <w:t xml:space="preserve">Lead Economist</w:t>
            </w:r>
          </w:p>
        </w:tc>
        <w:tc>
          <w:tcPr/>
          <w:p>
            <w:pPr>
              <w:pStyle w:val="Compact"/>
              <w:jc w:val="left"/>
            </w:pPr>
            <w:r>
              <w:t xml:space="preserve">Assoc. Prof. Dr. İsmail Çağrı Özcan</w:t>
            </w:r>
          </w:p>
        </w:tc>
        <w:tc>
          <w:tcPr/>
          <w:p>
            <w:pPr>
              <w:pStyle w:val="Compact"/>
              <w:jc w:val="center"/>
            </w:pPr>
            <w:r>
              <w:t xml:space="preserve">Read</w:t>
            </w:r>
          </w:p>
        </w:tc>
        <w:tc>
          <w:tcPr/>
          <w:p>
            <w:pPr>
              <w:pStyle w:val="Compact"/>
              <w:jc w:val="center"/>
            </w:pPr>
            <w:r>
              <w:t xml:space="preserve">Read</w:t>
            </w:r>
          </w:p>
        </w:tc>
        <w:tc>
          <w:tcPr/>
          <w:p>
            <w:pPr>
              <w:pStyle w:val="Compact"/>
              <w:jc w:val="center"/>
            </w:pPr>
            <w:r>
              <w:t xml:space="preserve">Read</w:t>
            </w:r>
          </w:p>
        </w:tc>
        <w:tc>
          <w:tcPr/>
          <w:p>
            <w:pPr>
              <w:pStyle w:val="Compact"/>
              <w:jc w:val="center"/>
            </w:pPr>
            <w:r>
              <w:rPr>
                <w:b/>
                <w:bCs/>
              </w:rPr>
              <w:t xml:space="preserve">Write / Upload</w:t>
            </w:r>
          </w:p>
        </w:tc>
        <w:tc>
          <w:tcPr/>
          <w:p>
            <w:pPr>
              <w:pStyle w:val="Compact"/>
              <w:jc w:val="center"/>
            </w:pPr>
            <w:r>
              <w:t xml:space="preserve">Review</w:t>
            </w:r>
          </w:p>
        </w:tc>
      </w:tr>
      <w:tr>
        <w:tc>
          <w:tcPr/>
          <w:p>
            <w:pPr>
              <w:pStyle w:val="Compact"/>
              <w:jc w:val="left"/>
            </w:pPr>
            <w:r>
              <w:rPr>
                <w:b/>
                <w:bCs/>
              </w:rPr>
              <w:t xml:space="preserve">Institutional Stakeholder</w:t>
            </w:r>
          </w:p>
        </w:tc>
        <w:tc>
          <w:tcPr/>
          <w:p>
            <w:pPr>
              <w:pStyle w:val="Compact"/>
              <w:jc w:val="left"/>
            </w:pPr>
            <w:r>
              <w:t xml:space="preserve">AFAD, World Bank, İBB Delegates</w:t>
            </w:r>
          </w:p>
        </w:tc>
        <w:tc>
          <w:tcPr/>
          <w:p>
            <w:pPr>
              <w:pStyle w:val="Compact"/>
              <w:jc w:val="center"/>
            </w:pPr>
            <w:r>
              <w:t xml:space="preserve">Read</w:t>
            </w:r>
          </w:p>
        </w:tc>
        <w:tc>
          <w:tcPr/>
          <w:p>
            <w:pPr>
              <w:pStyle w:val="Compact"/>
              <w:jc w:val="center"/>
            </w:pPr>
            <w:r>
              <w:t xml:space="preserve">Read</w:t>
            </w:r>
          </w:p>
        </w:tc>
        <w:tc>
          <w:tcPr/>
          <w:p>
            <w:pPr>
              <w:pStyle w:val="Compact"/>
              <w:jc w:val="center"/>
            </w:pPr>
            <w:r>
              <w:t xml:space="preserve">Read</w:t>
            </w:r>
          </w:p>
        </w:tc>
        <w:tc>
          <w:tcPr/>
          <w:p>
            <w:pPr>
              <w:pStyle w:val="Compact"/>
              <w:jc w:val="center"/>
            </w:pPr>
            <w:r>
              <w:t xml:space="preserve">Read</w:t>
            </w:r>
          </w:p>
        </w:tc>
        <w:tc>
          <w:tcPr/>
          <w:p>
            <w:pPr>
              <w:pStyle w:val="Compact"/>
              <w:jc w:val="center"/>
            </w:pPr>
            <w:r>
              <w:rPr>
                <w:b/>
                <w:bCs/>
              </w:rPr>
              <w:t xml:space="preserve">Official Download</w:t>
            </w:r>
          </w:p>
        </w:tc>
      </w:tr>
    </w:tbl>
    <w:p>
      <w:r>
        <w:pict>
          <v:rect style="width:0;height:1.5pt" o:hralign="center" o:hrstd="t" o:hr="t"/>
        </w:pict>
      </w:r>
    </w:p>
    <w:bookmarkEnd w:id="17"/>
    <w:bookmarkEnd w:id="18"/>
    <w:bookmarkStart w:id="19" w:name="X4da5dc7152992e37ac2589d49306dddb4b4a9e7"/>
    <w:p>
      <w:pPr>
        <w:pStyle w:val="Heading2"/>
      </w:pPr>
      <w:r>
        <w:t xml:space="preserve">5. EXPERT SCIENTIFIC CONSENSUS &amp; CALIBRATION PIPELINE</w:t>
      </w:r>
    </w:p>
    <w:p>
      <w:pPr>
        <w:pStyle w:val="FirstParagraph"/>
      </w:pPr>
      <w:r>
        <w:t xml:space="preserve">With the deployment of the</w:t>
      </w:r>
      <w:r>
        <w:t xml:space="preserve"> </w:t>
      </w:r>
      <w:r>
        <w:rPr>
          <w:b/>
          <w:bCs/>
        </w:rPr>
        <w:t xml:space="preserve">“Export Expert Consensus Set”</w:t>
      </w:r>
      <w:r>
        <w:t xml:space="preserve"> </w:t>
      </w:r>
      <w:r>
        <w:t xml:space="preserve">engine on the web platform, scientific contributions will be streamlined via four structured phases:</w:t>
      </w:r>
    </w:p>
    <w:p>
      <w:pPr>
        <w:pStyle w:val="Compact"/>
        <w:numPr>
          <w:ilvl w:val="0"/>
          <w:numId w:val="1004"/>
        </w:numPr>
      </w:pPr>
      <w:r>
        <w:rPr>
          <w:b/>
          <w:bCs/>
        </w:rPr>
        <w:t xml:space="preserve">Preprocessing &amp; Normalization:</w:t>
      </w:r>
      <w:r>
        <w:t xml:space="preserve"> </w:t>
      </w:r>
      <w:r>
        <w:t xml:space="preserve">Domain experts process raw indicators and deposit standardized layers into Level 02.</w:t>
      </w:r>
    </w:p>
    <w:p>
      <w:pPr>
        <w:pStyle w:val="Compact"/>
        <w:numPr>
          <w:ilvl w:val="0"/>
          <w:numId w:val="1004"/>
        </w:numPr>
      </w:pPr>
      <w:r>
        <w:rPr>
          <w:b/>
          <w:bCs/>
        </w:rPr>
        <w:t xml:space="preserve">Coefficient Calibration:</w:t>
      </w:r>
      <w:r>
        <w:t xml:space="preserve"> </w:t>
      </w:r>
      <w:r>
        <w:t xml:space="preserve">In the Scenario Simulator interface, researchers calibrate F-BWM weight sliders according to empirical disciplinary findings.</w:t>
      </w:r>
    </w:p>
    <w:p>
      <w:pPr>
        <w:pStyle w:val="Compact"/>
        <w:numPr>
          <w:ilvl w:val="0"/>
          <w:numId w:val="1004"/>
        </w:numPr>
      </w:pPr>
      <w:r>
        <w:rPr>
          <w:b/>
          <w:bCs/>
        </w:rPr>
        <w:t xml:space="preserve">Official Consensus Artifact Generation:</w:t>
      </w:r>
      <w:r>
        <w:t xml:space="preserve"> </w:t>
      </w:r>
      <w:r>
        <w:t xml:space="preserve">Clicking the export button produces a verifiable</w:t>
      </w:r>
      <w:r>
        <w:t xml:space="preserve"> </w:t>
      </w:r>
      <w:r>
        <w:rPr>
          <w:rStyle w:val="VerbatimChar"/>
        </w:rPr>
        <w:t xml:space="preserve">Resilient_Izmir_Uzman_Konsensus_Seti_[Date].json</w:t>
      </w:r>
      <w:r>
        <w:t xml:space="preserve"> </w:t>
      </w:r>
      <w:r>
        <w:t xml:space="preserve">uploaded to Level 03.</w:t>
      </w:r>
    </w:p>
    <w:p>
      <w:pPr>
        <w:pStyle w:val="Compact"/>
        <w:numPr>
          <w:ilvl w:val="0"/>
          <w:numId w:val="1004"/>
        </w:numPr>
      </w:pPr>
      <w:r>
        <w:rPr>
          <w:b/>
          <w:bCs/>
        </w:rPr>
        <w:t xml:space="preserve">Backend Model Automation:</w:t>
      </w:r>
      <w:r>
        <w:t xml:space="preserve"> </w:t>
      </w:r>
      <w:r>
        <w:t xml:space="preserve">The Python core pipeline digests this consensus parameter set to lock the final vulnerability and prioritization indices across all 1,317 neighborhoods.</w:t>
      </w:r>
    </w:p>
    <w:p>
      <w:r>
        <w:pict>
          <v:rect style="width:0;height:1.5pt" o:hralign="center" o:hrstd="t" o:hr="t"/>
        </w:pict>
      </w:r>
    </w:p>
    <w:bookmarkEnd w:id="19"/>
    <w:bookmarkStart w:id="20" w:name="Xc8081278c55c0a997cd35d1b77a15d2168b8242"/>
    <w:p>
      <w:pPr>
        <w:pStyle w:val="Heading2"/>
      </w:pPr>
      <w:r>
        <w:t xml:space="preserve">6. DATA PRIVACY AND CYBERSECURITY COMMITMENT</w:t>
      </w:r>
    </w:p>
    <w:p>
      <w:pPr>
        <w:pStyle w:val="FirstParagraph"/>
      </w:pPr>
      <w:r>
        <w:t xml:space="preserve">Sensitive critical infrastructure coordinates, energy distribution topologies, and public facility records are rigorously protected under Personal Data Protection Law No. 6698 (KVKK) and the Presidency Digital Transformation Office Information and Communication Security Guide:</w:t>
      </w:r>
      <w:r>
        <w:t xml:space="preserve"> </w:t>
      </w:r>
      <w:r>
        <w:t xml:space="preserve">* Raw institutional records and restricted GIS datasets</w:t>
      </w:r>
      <w:r>
        <w:t xml:space="preserve"> </w:t>
      </w:r>
      <w:r>
        <w:rPr>
          <w:b/>
          <w:bCs/>
        </w:rPr>
        <w:t xml:space="preserve">shall never be hosted in public source repositories (GitHub/GitLab)</w:t>
      </w:r>
      <w:r>
        <w:t xml:space="preserve">.</w:t>
      </w:r>
      <w:r>
        <w:t xml:space="preserve"> </w:t>
      </w:r>
      <w:r>
        <w:t xml:space="preserve">* Spatial indicators delivered via the web platform are protected by</w:t>
      </w:r>
      <w:r>
        <w:t xml:space="preserve"> </w:t>
      </w:r>
      <w:r>
        <w:rPr>
          <w:b/>
          <w:bCs/>
        </w:rPr>
        <w:t xml:space="preserve">Cloudflare Pages Edge Middleware</w:t>
      </w:r>
      <w:r>
        <w:t xml:space="preserve"> </w:t>
      </w:r>
      <w:r>
        <w:t xml:space="preserve">with SHA-256 session tokenization and two-factor stakeholder credential gating (</w:t>
      </w:r>
      <w:r>
        <w:rPr>
          <w:rStyle w:val="VerbatimChar"/>
        </w:rPr>
        <w:t xml:space="preserve">evren</w:t>
      </w:r>
      <w:r>
        <w:t xml:space="preserve"> </w:t>
      </w:r>
      <w:r>
        <w:t xml:space="preserve">/</w:t>
      </w:r>
      <w:r>
        <w:t xml:space="preserve"> </w:t>
      </w:r>
      <w:r>
        <w:rPr>
          <w:rStyle w:val="VerbatimChar"/>
        </w:rPr>
        <w:t xml:space="preserve">tapu1234</w:t>
      </w:r>
      <w:r>
        <w:t xml:space="preserve">).</w:t>
      </w:r>
      <w:r>
        <w:t xml:space="preserve"> </w:t>
      </w:r>
      <w:r>
        <w:t xml:space="preserve">* Inter-agency data transmissions are conducted exclusively via encrypted TLS 1.3 institutional cloud channels.</w:t>
      </w:r>
    </w:p>
    <w:p>
      <w:r>
        <w:pict>
          <v:rect style="width:0;height:1.5pt" o:hralign="center" o:hrstd="t" o:hr="t"/>
        </w:pict>
      </w:r>
    </w:p>
    <w:p>
      <w:pPr>
        <w:pStyle w:val="FirstParagraph"/>
      </w:pPr>
      <w:r>
        <w:rPr>
          <w:b/>
          <w:bCs/>
        </w:rPr>
        <w:t xml:space="preserve">Approved on Behalf of the Resilient İzmir Technical Working Group:</w:t>
      </w:r>
      <w:r>
        <w:br/>
      </w:r>
      <w:r>
        <w:rPr>
          <w:i/>
          <w:iCs/>
        </w:rPr>
        <w:t xml:space="preserve">Prof. Dr. Evren Erdin &amp; Yusuf Eminoğlu</w:t>
      </w:r>
      <w:r>
        <w:br/>
      </w:r>
      <w:r>
        <w:t xml:space="preserve">Dokuz Eylül University Faculty of Architecture Department of City and Regional Planning</w:t>
      </w:r>
      <w:r>
        <w:br/>
      </w:r>
      <w:r>
        <w:rPr>
          <w:i/>
          <w:iCs/>
        </w:rPr>
        <w:t xml:space="preserve">Date: October 2, 2026</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2026-10-01T22:14:03Z</dcterms:created>
  <dcterms:modified xsi:type="dcterms:W3CDTF">2026-10-01T22:14:03Z</dcterms:modified>
</cp:coreProperties>
</file>

<file path=docProps/custom.xml><?xml version="1.0" encoding="utf-8"?>
<Properties xmlns="http://schemas.openxmlformats.org/officeDocument/2006/custom-properties" xmlns:vt="http://schemas.openxmlformats.org/officeDocument/2006/docPropsVTypes"/>
</file>