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ns1="http://schemas.openxmlformats.org/drawingml/2006/wordprocessingDrawing" xmlns:ns2="http://schemas.openxmlformats.org/drawingml/2006/main" xmlns:ns3="http://schemas.openxmlformats.org/drawingml/2006/picture" xmlns:ns4="http://schemas.openxmlformats.org/officeDocument/2006/relationships" xmlns:ns5="urn:schemas-microsoft-com:vml" xmlns:ns6="urn:schemas-microsoft-com:office:office" xmlns:w="http://schemas.openxmlformats.org/wordprocessingml/2006/main">
  <w:body>
    <w:tbl>
      <w:tblPr>
        <w:tblW w:type="auto" w:w="0"/>
        <w:jc w:val="center"/>
        <w:tblLook w:firstColumn="1" w:firstRow="1" w:lastColumn="0" w:lastRow="0" w:noHBand="0" w:noVBand="1" w:val="04A0"/>
        <w:tblBorders>
          <w:top w:val="none"/>
          <w:left w:val="none"/>
          <w:bottom w:val="none"/>
          <w:right w:val="none"/>
          <w:insideH w:val="none"/>
          <w:insideV w:val="none"/>
        </w:tblBorders>
        <w:tblLayout w:type="autofit"/>
      </w:tblPr>
      <w:tblGrid>
        <w:gridCol w:w="3120"/>
        <w:gridCol w:w="3120"/>
        <w:gridCol w:w="3120"/>
      </w:tblGrid>
      <w:tr>
        <w:tc>
          <w:tcPr>
            <w:tcW w:type="dxa" w:w="3120"/>
            <w:tcBorders>
              <w:top w:val="single" w:sz="8" w:space="0" w:color="000000"/>
              <w:bottom w:val="single" w:sz="8" w:space="0" w:color="000000"/>
            </w:tcBorders>
          </w:tcPr>
          <w:p>
            <w:pPr>
              <w:jc w:val="center"/>
              <w:spacing w:before="40" w:after="40" w:line="240" w:lineRule="auto"/>
            </w:pPr>
            <w:r>
              <w:drawing>
                <ns1:inline>
                  <ns1:extent cx="5800000" cy="3866667"/>
                  <ns1:docPr id="1" name="Picture 1"/>
                  <ns1:cNvGraphicFramePr>
                    <ns2:graphicFrameLocks noChangeAspect="1"/>
                  </ns1:cNvGraphicFramePr>
                  <ns2:graphic>
                    <ns2:graphicData uri="http://schemas.openxmlformats.org/drawingml/2006/picture">
                      <ns3:pic>
                        <ns3:nvPicPr>
                          <ns3:cNvPr id="0" name="eu_emblem.png"/>
                          <ns3:cNvPicPr/>
                        </ns3:nvPicPr>
                        <ns3:blipFill>
                          <ns2:blip ns4:embed="rId9"/>
                          <ns2:stretch>
                            <ns2:fillRect/>
                          </ns2:stretch>
                        </ns3:blipFill>
                        <ns3:spPr>
                          <ns2:xfrm>
                            <ns2:off x="0" y="0"/>
                            <ns2:ext cx="1554480" cy="1036320"/>
                          </ns2:xfrm>
                          <ns2:prstGeom prst="rect"/>
                        </ns3:spPr>
                      </ns3:pic>
                    </ns2:graphicData>
                  </ns2:graphic>
                </ns1:inline>
              </w:drawing>
              <w:rPr>
                <w:b/>
                <w:bCs/>
                <w:rFonts w:ascii="Times New Roman" w:hAnsi="Times New Roman" w:eastAsia="Times New Roman" w:cs="Times New Roman"/>
                <w:color w:val="000000"/>
                <w:sz w:val="19"/>
                <w:szCs w:val="19"/>
              </w:rPr>
            </w:r>
          </w:p>
        </w:tc>
        <w:tc>
          <w:tcPr>
            <w:tcW w:type="dxa" w:w="3120"/>
            <w:tcBorders>
              <w:top w:val="single" w:sz="8" w:space="0" w:color="000000"/>
              <w:bottom w:val="single" w:sz="8" w:space="0" w:color="000000"/>
            </w:tcBorders>
          </w:tcPr>
          <w:p>
            <w:pPr>
              <w:jc w:val="center"/>
              <w:spacing w:before="40" w:after="40" w:line="240" w:lineRule="auto"/>
            </w:pPr>
            <w:r>
              <w:drawing>
                <ns1:inline>
                  <ns1:extent cx="5800000" cy="3866667"/>
                  <ns1:docPr id="2" name="Picture 2"/>
                  <ns1:cNvGraphicFramePr>
                    <ns2:graphicFrameLocks noChangeAspect="1"/>
                  </ns1:cNvGraphicFramePr>
                  <ns2:graphic>
                    <ns2:graphicData uri="http://schemas.openxmlformats.org/drawingml/2006/picture">
                      <ns3:pic>
                        <ns3:nvPicPr>
                          <ns3:cNvPr id="0" name="worldbank.png"/>
                          <ns3:cNvPicPr/>
                        </ns3:nvPicPr>
                        <ns3:blipFill>
                          <ns2:blip ns4:embed="rId10"/>
                          <ns2:stretch>
                            <ns2:fillRect/>
                          </ns2:stretch>
                        </ns3:blipFill>
                        <ns3:spPr>
                          <ns2:xfrm>
                            <ns2:off x="0" y="0"/>
                            <ns2:ext cx="1554480" cy="1036320"/>
                          </ns2:xfrm>
                          <ns2:prstGeom prst="rect"/>
                        </ns3:spPr>
                      </ns3:pic>
                    </ns2:graphicData>
                  </ns2:graphic>
                </ns1:inline>
              </w:drawing>
              <w:rPr>
                <w:b/>
                <w:bCs/>
                <w:rFonts w:ascii="Times New Roman" w:hAnsi="Times New Roman" w:eastAsia="Times New Roman" w:cs="Times New Roman"/>
                <w:color w:val="000000"/>
                <w:sz w:val="19"/>
                <w:szCs w:val="19"/>
              </w:rPr>
            </w:r>
          </w:p>
        </w:tc>
        <w:tc>
          <w:tcPr>
            <w:tcW w:type="dxa" w:w="3120"/>
            <w:tcBorders>
              <w:top w:val="single" w:sz="8" w:space="0" w:color="000000"/>
              <w:bottom w:val="single" w:sz="8" w:space="0" w:color="000000"/>
            </w:tcBorders>
          </w:tcPr>
          <w:p>
            <w:pPr>
              <w:jc w:val="center"/>
              <w:spacing w:before="40" w:after="40" w:line="240" w:lineRule="auto"/>
            </w:pPr>
            <w:r>
              <w:drawing>
                <ns1:inline>
                  <ns1:extent cx="5800000" cy="3866667"/>
                  <ns1:docPr id="3" name="Picture 3"/>
                  <ns1:cNvGraphicFramePr>
                    <ns2:graphicFrameLocks noChangeAspect="1"/>
                  </ns1:cNvGraphicFramePr>
                  <ns2:graphic>
                    <ns2:graphicData uri="http://schemas.openxmlformats.org/drawingml/2006/picture">
                      <ns3:pic>
                        <ns3:nvPicPr>
                          <ns3:cNvPr id="0" name="afad.png"/>
                          <ns3:cNvPicPr/>
                        </ns3:nvPicPr>
                        <ns3:blipFill>
                          <ns2:blip ns4:embed="rId11"/>
                          <ns2:stretch>
                            <ns2:fillRect/>
                          </ns2:stretch>
                        </ns3:blipFill>
                        <ns3:spPr>
                          <ns2:xfrm>
                            <ns2:off x="0" y="0"/>
                            <ns2:ext cx="1554480" cy="1036320"/>
                          </ns2:xfrm>
                          <ns2:prstGeom prst="rect"/>
                        </ns3:spPr>
                      </ns3:pic>
                    </ns2:graphicData>
                  </ns2:graphic>
                </ns1:inline>
              </w:drawing>
              <w:rPr>
                <w:b/>
                <w:bCs/>
                <w:rFonts w:ascii="Times New Roman" w:hAnsi="Times New Roman" w:eastAsia="Times New Roman" w:cs="Times New Roman"/>
                <w:color w:val="000000"/>
                <w:sz w:val="19"/>
                <w:szCs w:val="19"/>
              </w:rPr>
            </w:r>
          </w:p>
        </w:tc>
        <w:trPr>
          <w:tblHeader w:val="1"/>
          <w:cantSplit/>
        </w:trPr>
      </w:tr>
    </w:tbl>
    <w:p>
      <w:pPr>
        <w:spacing w:before="0" w:after="100" w:line="360" w:lineRule="auto"/>
        <w:jc w:val="both"/>
      </w:pPr>
    </w:p>
    <w:p>
      <w:pPr>
        <w:spacing w:before="0" w:after="100" w:line="360" w:lineRule="auto"/>
        <w:jc w:val="both"/>
      </w:pPr>
      <w:r>
        <w:rPr>
          <w:rFonts w:ascii="Times New Roman" w:hAnsi="Times New Roman" w:eastAsia="Times New Roman" w:cs="Times New Roman"/>
          <w:b/>
          <w:i w:val="0"/>
          <w:sz w:val="23"/>
          <w:color w:val="000000"/>
          <w:szCs w:val="23"/>
        </w:rPr>
        <w:t>AFAD Institutional Data Reception, Critical Infrastructure Taxonomy Alignment, and Multi-Hazard Integration Report</w:t>
      </w:r>
    </w:p>
    <w:p>
      <w:pPr>
        <w:spacing w:before="0" w:after="100" w:line="360" w:lineRule="auto"/>
        <w:jc w:val="both"/>
      </w:pPr>
      <w:r>
        <w:rPr>
          <w:rFonts w:ascii="Times New Roman" w:hAnsi="Times New Roman" w:eastAsia="Times New Roman" w:cs="Times New Roman"/>
          <w:b w:val="0"/>
          <w:i w:val="0"/>
          <w:color w:val="000000"/>
          <w:sz w:val="23"/>
          <w:szCs w:val="23"/>
        </w:rPr>
        <w:t>Resilient İzmir: A Strategic and Inclusive Approach to Disaster Risk Reduction Project</w:t>
      </w:r>
    </w:p>
    <w:p>
      <w:pPr>
        <w:spacing w:before="0" w:after="100" w:line="360" w:lineRule="auto"/>
        <w:jc w:val="both"/>
      </w:pPr>
      <w:r>
        <w:rPr>
          <w:rFonts w:ascii="Times New Roman" w:hAnsi="Times New Roman" w:eastAsia="Times New Roman" w:cs="Times New Roman"/>
          <w:b w:val="0"/>
          <w:i w:val="0"/>
          <w:color w:val="000000"/>
          <w:sz w:val="23"/>
          <w:szCs w:val="23"/>
        </w:rPr>
        <w:t>Prof. Dr. Hilmi Evren ERDİN (Lead Urban &amp; Spatial Systems Modeler)</w:t>
      </w:r>
    </w:p>
    <w:p>
      <w:pPr>
        <w:spacing w:before="0" w:after="100" w:line="360" w:lineRule="auto"/>
        <w:jc w:val="both"/>
      </w:pPr>
      <w:r>
        <w:rPr>
          <w:rFonts w:ascii="Times New Roman" w:hAnsi="Times New Roman" w:eastAsia="Times New Roman" w:cs="Times New Roman"/>
          <w:b w:val="0"/>
          <w:i w:val="0"/>
          <w:color w:val="000000"/>
          <w:sz w:val="23"/>
          <w:szCs w:val="23"/>
        </w:rPr>
        <w:t>Prof. Dr. Hasan SÖZBİLİR (Earthquake Geology &amp; Active Faults Lead)</w:t>
      </w:r>
    </w:p>
    <w:p>
      <w:pPr>
        <w:spacing w:before="0" w:after="100" w:line="360" w:lineRule="auto"/>
        <w:jc w:val="both"/>
      </w:pPr>
      <w:r>
        <w:rPr>
          <w:rFonts w:ascii="Times New Roman" w:hAnsi="Times New Roman" w:eastAsia="Times New Roman" w:cs="Times New Roman"/>
          <w:b w:val="0"/>
          <w:i w:val="0"/>
          <w:color w:val="000000"/>
          <w:sz w:val="23"/>
          <w:szCs w:val="23"/>
        </w:rPr>
        <w:t>Assoc. Prof. Dr. Onur PEKCAN (Critical Infrastructure &amp; NaTech Lead)</w:t>
      </w:r>
    </w:p>
    <w:p>
      <w:pPr>
        <w:spacing w:before="0" w:after="100" w:line="360" w:lineRule="auto"/>
        <w:jc w:val="both"/>
      </w:pPr>
      <w:r>
        <w:rPr>
          <w:rFonts w:ascii="Times New Roman" w:hAnsi="Times New Roman" w:eastAsia="Times New Roman" w:cs="Times New Roman"/>
          <w:b w:val="0"/>
          <w:i w:val="0"/>
          <w:color w:val="000000"/>
          <w:sz w:val="23"/>
          <w:szCs w:val="23"/>
        </w:rPr>
        <w:t>Assoc. Prof. Dr. Egemen ARAS &amp; Dr. Uğur SERENCAM (Hydrology &amp; Flood Modeling Leads)</w:t>
      </w:r>
    </w:p>
    <w:p>
      <w:pPr>
        <w:spacing w:before="0" w:after="100" w:line="360" w:lineRule="auto"/>
        <w:jc w:val="both"/>
      </w:pPr>
      <w:r>
        <w:rPr>
          <w:rFonts w:ascii="Times New Roman" w:hAnsi="Times New Roman" w:eastAsia="Times New Roman" w:cs="Times New Roman"/>
          <w:b w:val="0"/>
          <w:i w:val="0"/>
          <w:color w:val="000000"/>
          <w:sz w:val="23"/>
          <w:szCs w:val="23"/>
        </w:rPr>
        <w:t>Assoc. Prof. Dr. İsmail Çağrı ÖZCAN (Cost-Benefit Analysis &amp; Triple Dividend Lead)</w:t>
      </w:r>
    </w:p>
    <w:p>
      <w:pPr>
        <w:spacing w:before="0" w:after="100" w:line="360" w:lineRule="auto"/>
        <w:jc w:val="both"/>
      </w:pPr>
      <w:r>
        <w:rPr>
          <w:rFonts w:ascii="Times New Roman" w:hAnsi="Times New Roman" w:eastAsia="Times New Roman" w:cs="Times New Roman"/>
          <w:b w:val="0"/>
          <w:i w:val="0"/>
          <w:color w:val="000000"/>
          <w:sz w:val="23"/>
          <w:szCs w:val="23"/>
        </w:rPr>
        <w:t>October 2026</w:t>
      </w:r>
    </w:p>
    <w:tbl>
      <w:tblPr>
        <w:tblW w:type="auto" w:w="0"/>
        <w:jc w:val="center"/>
        <w:tblLook w:firstColumn="1" w:firstRow="1" w:lastColumn="0" w:lastRow="0" w:noHBand="0" w:noVBand="1" w:val="04A0"/>
        <w:tblBorders>
          <w:top w:val="none"/>
          <w:left w:val="none"/>
          <w:bottom w:val="none"/>
          <w:right w:val="none"/>
          <w:insideH w:val="none"/>
          <w:insideV w:val="none"/>
        </w:tblBorders>
        <w:tblLayout w:type="autofit"/>
      </w:tblPr>
      <w:tblGrid>
        <w:gridCol w:w="9360"/>
      </w:tblGrid>
      <w:tr>
        <w:tc>
          <w:tcPr>
            <w:tcW w:type="dxa" w:w="8928"/>
            <w:shd w:val="clear" w:color="auto" w:fill="F2F5FB"/>
            <w:tcBorders>
              <w:top w:val="single" w:sz="8" w:space="0" w:color="000000"/>
              <w:bottom w:val="single" w:sz="8" w:space="0" w:color="000000"/>
            </w:tcBorders>
          </w:tcPr>
          <w:p>
            <w:pPr>
              <w:jc w:val="center"/>
              <w:spacing w:before="40" w:after="40" w:line="240" w:lineRule="auto"/>
            </w:pPr>
            <w:r>
              <w:rPr>
                <w:rFonts w:ascii="Times New Roman" w:hAnsi="Times New Roman" w:eastAsia="Times New Roman" w:cs="Times New Roman"/>
                <w:i/>
                <w:sz w:val="19"/>
                <w:b/>
                <w:bCs/>
                <w:color w:val="000000"/>
                <w:szCs w:val="19"/>
              </w:rPr>
              <w:t>This activity is financed by the European Union through the Technical Assistance Financing Facility (TAFF) and implemented by the World Bank, in coordination with the Disaster and Emergency Management Presidency (AFAD).</w:t>
            </w:r>
          </w:p>
        </w:tc>
        <w:trPr>
          <w:tblHeader w:val="1"/>
          <w:cantSplit/>
        </w:trPr>
      </w:tr>
    </w:tbl>
    <w:p>
      <w:pPr>
        <w:spacing w:before="0" w:after="100" w:line="360" w:lineRule="auto"/>
        <w:jc w:val="both"/>
      </w:pPr>
      <w:r>
        <w:rPr>
          <w:rFonts w:ascii="Times New Roman" w:hAnsi="Times New Roman" w:eastAsia="Times New Roman" w:cs="Times New Roman"/>
          <w:b w:val="0"/>
          <w:i/>
          <w:color w:val="000000"/>
          <w:sz w:val="23"/>
          <w:szCs w:val="23"/>
        </w:rPr>
        <w:t>Draft — subject to prior World Bank clearance. Official Use Only.</w:t>
      </w:r>
    </w:p>
    <w:p>
      <w:r>
        <w:br w:type="page"/>
        <w:rPr>
          <w:rFonts w:ascii="Times New Roman" w:hAnsi="Times New Roman" w:eastAsia="Times New Roman" w:cs="Times New Roman"/>
          <w:color w:val="000000"/>
          <w:sz w:val="23"/>
          <w:szCs w:val="23"/>
        </w:rPr>
      </w:r>
      <w:pPr>
        <w:spacing w:before="0" w:after="100" w:line="360" w:lineRule="auto"/>
        <w:jc w:val="both"/>
      </w:pPr>
    </w:p>
    <w:sdt>
      <w:sdtPr>
        <w:docPartObj>
          <w:docPartGallery w:val="Table of Contents"/>
          <w:docPartUnique/>
        </w:docPartObj>
      </w:sdtPr>
      <w:sdtContent>
        <w:p>
          <w:pPr>
            <w:pStyle w:val="TOCHeading"/>
          </w:pPr>
          <w:r>
            <w:t xml:space="preserve">Table of Contents</w:t>
            <w:rPr>
              <w:rFonts w:ascii="Times New Roman" w:hAnsi="Times New Roman" w:eastAsia="Times New Roman" w:cs="Times New Roman"/>
              <w:color w:val="000000"/>
            </w:rPr>
          </w:r>
        </w:p>
        <w:p>
          <w:r>
            <w:fldChar w:fldCharType="begin" w:dirty="true"/>
            <w:instrText xml:space="preserve">TOC \o "1-3" \h \z \u</w:instrText>
            <w:fldChar w:fldCharType="separate"/>
            <w:fldChar w:fldCharType="end"/>
            <w:rPr>
              <w:rFonts w:ascii="Times New Roman" w:hAnsi="Times New Roman" w:eastAsia="Times New Roman" w:cs="Times New Roman"/>
              <w:color w:val="000000"/>
              <w:sz w:val="23"/>
              <w:szCs w:val="23"/>
            </w:rPr>
          </w:r>
          <w:pPr>
            <w:spacing w:before="0" w:after="100" w:line="360" w:lineRule="auto"/>
            <w:jc w:val="both"/>
          </w:pPr>
        </w:p>
      </w:sdtContent>
    </w:sdt>
    <w:bookmarkStart w:id="9" w:name="executive-summary"/>
    <w:p>
      <w:pPr>
        <w:pStyle w:val="Heading1"/>
      </w:pPr>
      <w:r>
        <w:t xml:space="preserve">EXECUTIVE SUMMARY</w:t>
        <w:rPr>
          <w:rFonts w:ascii="Times New Roman" w:hAnsi="Times New Roman" w:eastAsia="Times New Roman" w:cs="Times New Roman"/>
          <w:color w:val="000000"/>
        </w:rPr>
      </w:r>
    </w:p>
    <w:p>
      <w:pPr>
        <w:pStyle w:val="FirstParagraph"/>
        <w:spacing w:before="0" w:after="100" w:line="360" w:lineRule="auto"/>
        <w:jc w:val="both"/>
      </w:pPr>
      <w:r>
        <w:t xml:space="preserve">This technical report documents the formal reception, systematic screening, verification, spatial taxonomy mapping, and decision-support platform integration of the 2.15 GB institutional data package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Direncli İzmir Veri.zip</w:t>
      </w:r>
      <w:r>
        <w:t xml:space="preserve">) provided by the Disaster and Emergency Management Presidency of Türkiye (AFAD) and inter-agency lifelines providers. This activity is executed within the project</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“Resilient İzmir: A Strategic and Inclusive Approach to Disaster Risk Reduction”</w:t>
      </w:r>
      <w:r>
        <w:t xml:space="preserve">, funded by the European Union Technical Assistance Financing Facility (TAFF) and implemented by the World Bank in close partnership with AFAD and the İzmir Metropolitan Municipality (İBB).</w:t>
        <w:rPr>
          <w:rFonts w:ascii="Times New Roman" w:hAnsi="Times New Roman" w:eastAsia="Times New Roman" w:cs="Times New Roman"/>
          <w:color w:val="000000"/>
          <w:sz w:val="23"/>
          <w:szCs w:val="23"/>
        </w:rPr>
      </w:r>
    </w:p>
    <w:p>
      <w:pPr>
        <w:pStyle w:val="BodyText"/>
        <w:spacing w:before="0" w:after="100" w:line="360" w:lineRule="auto"/>
        <w:jc w:val="both"/>
      </w:pPr>
      <w:r>
        <w:t xml:space="preserve">Pursuant to the resolutions adopted at the AFAD–World Bank Technical Coordination Meeting and the World Bank Task Team Leader (TTL) review notes on the July draft report:</w:t>
        <w:rPr>
          <w:rFonts w:ascii="Times New Roman" w:hAnsi="Times New Roman" w:eastAsia="Times New Roman" w:cs="Times New Roman"/>
          <w:color w:val="000000"/>
          <w:sz w:val="23"/>
          <w:szCs w:val="23"/>
        </w:rPr>
      </w:r>
    </w:p>
    <w:p>
      <w:pPr>
        <w:pStyle w:val="Compact"/>
        <w:numPr>
          <w:ilvl w:val="0"/>
          <w:numId w:val="1001"/>
        </w:numPr>
        <w:spacing w:before="0" w:after="100" w:line="360" w:lineRule="auto"/>
        <w:jc w:val="both"/>
      </w:pPr>
      <w:r>
        <w:rPr>
          <w:b/>
          <w:bCs/>
          <w:rFonts w:ascii="Times New Roman" w:hAnsi="Times New Roman" w:eastAsia="Times New Roman" w:cs="Times New Roman"/>
          <w:color w:val="000000"/>
          <w:sz w:val="23"/>
          <w:szCs w:val="23"/>
        </w:rPr>
        <w:t xml:space="preserve">Terminology and Critical Infrastructure (CI) Taxonomy Harmony:</w:t>
      </w:r>
      <w:r>
        <w:t xml:space="preserve"> </w:t>
        <w:rPr>
          <w:rFonts w:ascii="Times New Roman" w:hAnsi="Times New Roman" w:eastAsia="Times New Roman" w:cs="Times New Roman"/>
          <w:color w:val="000000"/>
          <w:sz w:val="23"/>
          <w:szCs w:val="23"/>
        </w:rPr>
      </w:r>
      <w:r>
        <w:t xml:space="preserve">The critical infrastructure taxonomy has been strictly harmonized with AFAD’s official sector standards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Kritik Altyapı Sektörleri ve Yer Alan Yapılar_v2</w:t>
      </w:r>
      <w:r>
        <w:t xml:space="preserve"> </w:t>
        <w:rPr>
          <w:rFonts w:ascii="Times New Roman" w:hAnsi="Times New Roman" w:eastAsia="Times New Roman" w:cs="Times New Roman"/>
          <w:color w:val="000000"/>
          <w:sz w:val="23"/>
          <w:szCs w:val="23"/>
        </w:rPr>
      </w:r>
      <w:r>
        <w:t xml:space="preserve">and</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Kritik_Altyapılar_Taxonomi_Analizler.xlsx</w:t>
      </w:r>
      <w:r>
        <w:t xml:space="preserve">). The previous general asset roster has been refined into</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9 strategic sectors</w:t>
      </w:r>
      <w:r>
        <w:t xml:space="preserve"> </w:t>
        <w:rPr>
          <w:rFonts w:ascii="Times New Roman" w:hAnsi="Times New Roman" w:eastAsia="Times New Roman" w:cs="Times New Roman"/>
          <w:color w:val="000000"/>
          <w:sz w:val="23"/>
          <w:szCs w:val="23"/>
        </w:rPr>
      </w:r>
      <w:r>
        <w:t xml:space="preserve">and</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8 multidimensional analytical layers</w:t>
      </w:r>
      <w:r>
        <w:t xml:space="preserve">.</w:t>
        <w:rPr>
          <w:rFonts w:ascii="Times New Roman" w:hAnsi="Times New Roman" w:eastAsia="Times New Roman" w:cs="Times New Roman"/>
          <w:color w:val="000000"/>
          <w:sz w:val="23"/>
          <w:szCs w:val="23"/>
        </w:rPr>
      </w:r>
    </w:p>
    <w:p>
      <w:pPr>
        <w:pStyle w:val="Compact"/>
        <w:numPr>
          <w:ilvl w:val="0"/>
          <w:numId w:val="1001"/>
        </w:numPr>
        <w:spacing w:before="0" w:after="100" w:line="360" w:lineRule="auto"/>
        <w:jc w:val="both"/>
      </w:pPr>
      <w:r>
        <w:rPr>
          <w:b/>
          <w:bCs/>
          <w:rFonts w:ascii="Times New Roman" w:hAnsi="Times New Roman" w:eastAsia="Times New Roman" w:cs="Times New Roman"/>
          <w:color w:val="000000"/>
          <w:sz w:val="23"/>
          <w:szCs w:val="23"/>
        </w:rPr>
        <w:t xml:space="preserve">Closing Historical Data Deficits (DATA-1):</w:t>
      </w:r>
      <w:r>
        <w:t xml:space="preserve"> </w:t>
        <w:rPr>
          <w:rFonts w:ascii="Times New Roman" w:hAnsi="Times New Roman" w:eastAsia="Times New Roman" w:cs="Times New Roman"/>
          <w:color w:val="000000"/>
          <w:sz w:val="23"/>
          <w:szCs w:val="23"/>
        </w:rPr>
      </w:r>
      <w:r>
        <w:t xml:space="preserve">Core foundational gaps formerly designated as Grade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“C”</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(missing or awaiting external clearance) in the project data registry—notably official active faults, primary lifelines networks (high-voltage electricity transmission, natural gas, bulk water supply), hospital bed capacities, engineering structures (bridges, tunnels, grade-separated junctions), and the full building damage registry from the October 30, 2020 Samos–İzmir earthquake—have been validated and upgraded to</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Grade</w:t>
      </w:r>
      <w:r>
        <w:rPr>
          <w:b/>
          <w:bCs/>
          <w:rFonts w:ascii="Times New Roman" w:hAnsi="Times New Roman" w:eastAsia="Times New Roman" w:cs="Times New Roman"/>
          <w:color w:val="000000"/>
          <w:sz w:val="23"/>
          <w:szCs w:val="23"/>
        </w:rPr>
        <w:t xml:space="preserve"> </w:t>
      </w:r>
      <w:r>
        <w:rPr>
          <w:b/>
          <w:bCs/>
          <w:rFonts w:ascii="Times New Roman" w:hAnsi="Times New Roman" w:eastAsia="Times New Roman" w:cs="Times New Roman"/>
          <w:color w:val="000000"/>
          <w:sz w:val="23"/>
          <w:szCs w:val="23"/>
        </w:rPr>
        <w:t xml:space="preserve">“A”</w:t>
      </w:r>
      <w:r>
        <w:rPr>
          <w:b/>
          <w:bCs/>
          <w:rFonts w:ascii="Times New Roman" w:hAnsi="Times New Roman" w:eastAsia="Times New Roman" w:cs="Times New Roman"/>
          <w:color w:val="000000"/>
          <w:sz w:val="23"/>
          <w:szCs w:val="23"/>
        </w:rPr>
        <w:t xml:space="preserve"> </w:t>
      </w:r>
      <w:r>
        <w:rPr>
          <w:b/>
          <w:bCs/>
          <w:rFonts w:ascii="Times New Roman" w:hAnsi="Times New Roman" w:eastAsia="Times New Roman" w:cs="Times New Roman"/>
          <w:color w:val="000000"/>
          <w:sz w:val="23"/>
          <w:szCs w:val="23"/>
        </w:rPr>
        <w:t xml:space="preserve">(decision-support operational grade)</w:t>
      </w:r>
      <w:r>
        <w:t xml:space="preserve">.</w:t>
        <w:rPr>
          <w:rFonts w:ascii="Times New Roman" w:hAnsi="Times New Roman" w:eastAsia="Times New Roman" w:cs="Times New Roman"/>
          <w:color w:val="000000"/>
          <w:sz w:val="23"/>
          <w:szCs w:val="23"/>
        </w:rPr>
      </w:r>
    </w:p>
    <w:p>
      <w:pPr>
        <w:pStyle w:val="Compact"/>
        <w:numPr>
          <w:ilvl w:val="0"/>
          <w:numId w:val="1001"/>
        </w:numPr>
        <w:spacing w:before="0" w:after="100" w:line="360" w:lineRule="auto"/>
        <w:jc w:val="both"/>
      </w:pPr>
      <w:r>
        <w:rPr>
          <w:b/>
          <w:bCs/>
          <w:rFonts w:ascii="Times New Roman" w:hAnsi="Times New Roman" w:eastAsia="Times New Roman" w:cs="Times New Roman"/>
          <w:color w:val="000000"/>
          <w:sz w:val="23"/>
          <w:szCs w:val="23"/>
        </w:rPr>
        <w:t xml:space="preserve">Multi-Scale Spatial Disaggregation:</w:t>
      </w:r>
      <w:r>
        <w:t xml:space="preserve"> </w:t>
        <w:rPr>
          <w:rFonts w:ascii="Times New Roman" w:hAnsi="Times New Roman" w:eastAsia="Times New Roman" w:cs="Times New Roman"/>
          <w:color w:val="000000"/>
          <w:sz w:val="23"/>
          <w:szCs w:val="23"/>
        </w:rPr>
      </w:r>
      <w:r>
        <w:t xml:space="preserve">While macro-corridor and metropolitan diagnostics cover all 30 administrative districts, spatial decision-support indicators have been disaggregated across all</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1,317 neighbourhoods (mahalle)</w:t>
      </w:r>
      <w:r>
        <w:t xml:space="preserve">, establishing an audited baseline of critical assets and historical damage hotspots per administrative boundary.</w:t>
        <w:rPr>
          <w:rFonts w:ascii="Times New Roman" w:hAnsi="Times New Roman" w:eastAsia="Times New Roman" w:cs="Times New Roman"/>
          <w:color w:val="000000"/>
          <w:sz w:val="23"/>
          <w:szCs w:val="23"/>
        </w:rPr>
      </w:r>
    </w:p>
    <w:p>
      <w:pPr>
        <w:pStyle w:val="Compact"/>
        <w:numPr>
          <w:ilvl w:val="0"/>
          <w:numId w:val="1001"/>
        </w:numPr>
        <w:spacing w:before="0" w:after="100" w:line="360" w:lineRule="auto"/>
        <w:jc w:val="both"/>
      </w:pPr>
      <w:r>
        <w:rPr>
          <w:b/>
          <w:bCs/>
          <w:rFonts w:ascii="Times New Roman" w:hAnsi="Times New Roman" w:eastAsia="Times New Roman" w:cs="Times New Roman"/>
          <w:color w:val="000000"/>
          <w:sz w:val="23"/>
          <w:szCs w:val="23"/>
        </w:rPr>
        <w:t xml:space="preserve">Interdisciplinary Expert Workflow:</w:t>
      </w:r>
      <w:r>
        <w:t xml:space="preserve"> </w:t>
        <w:rPr>
          <w:rFonts w:ascii="Times New Roman" w:hAnsi="Times New Roman" w:eastAsia="Times New Roman" w:cs="Times New Roman"/>
          <w:color w:val="000000"/>
          <w:sz w:val="23"/>
          <w:szCs w:val="23"/>
        </w:rPr>
      </w:r>
      <w:r>
        <w:t xml:space="preserve">Received datasets were categorized and systematically partitioned to thematic domain experts: Seismotectonics, Active Faults &amp; Liquefaction (Prof. Dr. Sözbilir); Hydrological &amp; Fluvial Flood Defense (Assoc. Prof. Dr. Aras &amp; Dr. Serencam); High-Tier NaTech &amp; Hazardous Industrial Facilities (Assoc. Prof. Dr. Pekcan); Spatial Decision Support, 15-Expert F-BWM Synthesis &amp; Urban Systems (Prof. Dr. Erdin); and Economic Valuation / Triple Dividend CBA (Assoc. Prof. Dr. Özcan).</w:t>
        <w:rPr>
          <w:rFonts w:ascii="Times New Roman" w:hAnsi="Times New Roman" w:eastAsia="Times New Roman" w:cs="Times New Roman"/>
          <w:color w:val="000000"/>
          <w:sz w:val="23"/>
          <w:szCs w:val="23"/>
        </w:rPr>
      </w:r>
    </w:p>
    <w:p>
      <w:pPr>
        <w:pStyle w:val="Compact"/>
        <w:numPr>
          <w:ilvl w:val="0"/>
          <w:numId w:val="1001"/>
        </w:numPr>
        <w:spacing w:before="0" w:after="100" w:line="360" w:lineRule="auto"/>
        <w:jc w:val="both"/>
      </w:pPr>
      <w:r>
        <w:rPr>
          <w:b/>
          <w:bCs/>
          <w:rFonts w:ascii="Times New Roman" w:hAnsi="Times New Roman" w:eastAsia="Times New Roman" w:cs="Times New Roman"/>
          <w:color w:val="000000"/>
          <w:sz w:val="23"/>
          <w:szCs w:val="23"/>
        </w:rPr>
        <w:t xml:space="preserve">Operational Integration into Web GIS Decision Platform (v3.8):</w:t>
      </w:r>
      <w:r>
        <w:t xml:space="preserve"> </w:t>
        <w:rPr>
          <w:rFonts w:ascii="Times New Roman" w:hAnsi="Times New Roman" w:eastAsia="Times New Roman" w:cs="Times New Roman"/>
          <w:color w:val="000000"/>
          <w:sz w:val="23"/>
          <w:szCs w:val="23"/>
        </w:rPr>
      </w:r>
      <w:r>
        <w:t xml:space="preserve">A total of</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991 point-level critical infrastructure facilities</w:t>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1,157 lifeline network lines</w:t>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1,102 active fault segments (MTA 2026)</w:t>
      </w:r>
      <w:r>
        <w:t xml:space="preserve">, and</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1,710 geocoded severe/moderate building damage points</w:t>
      </w:r>
      <w:r>
        <w:t xml:space="preserve"> </w:t>
        <w:rPr>
          <w:rFonts w:ascii="Times New Roman" w:hAnsi="Times New Roman" w:eastAsia="Times New Roman" w:cs="Times New Roman"/>
          <w:color w:val="000000"/>
          <w:sz w:val="23"/>
          <w:szCs w:val="23"/>
        </w:rPr>
      </w:r>
      <w:r>
        <w:t xml:space="preserve">from the 2020 earthquake were ingested into the live analytical platform at</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https://geophilo.com/resilient-izmir/</w:t>
      </w:r>
      <w:r>
        <w:t xml:space="preserve">.</w:t>
        <w:rPr>
          <w:rFonts w:ascii="Times New Roman" w:hAnsi="Times New Roman" w:eastAsia="Times New Roman" w:cs="Times New Roman"/>
          <w:color w:val="000000"/>
          <w:sz w:val="23"/>
          <w:szCs w:val="23"/>
        </w:rPr>
      </w:r>
    </w:p>
    <w:p>
      <w:r>
        <w:pict>
          <ns5:rect style="width:0;height:1.5pt" ns6:hralign="center" ns6:hrstd="t" ns6:hr="t"/>
        </w:pict>
        <w:rPr>
          <w:rFonts w:ascii="Times New Roman" w:hAnsi="Times New Roman" w:eastAsia="Times New Roman" w:cs="Times New Roman"/>
          <w:color w:val="000000"/>
          <w:sz w:val="23"/>
          <w:szCs w:val="23"/>
        </w:rPr>
      </w:r>
      <w:pPr>
        <w:spacing w:before="0" w:after="100" w:line="360" w:lineRule="auto"/>
        <w:jc w:val="both"/>
      </w:pPr>
    </w:p>
    <w:bookmarkEnd w:id="9"/>
    <w:bookmarkStart w:id="12" w:name="X1dfaad0e1b003bc933c6f0b0d92100923a6e01c"/>
    <w:p>
      <w:pPr>
        <w:pStyle w:val="Heading1"/>
      </w:pPr>
      <w:r>
        <w:t xml:space="preserve">SECTION 1: INSTITUTIONAL CONTEXT, TECHNICAL AGREEMENTS, AND WORLD BANK REVIEW FEEDBACK</w:t>
        <w:rPr>
          <w:rFonts w:ascii="Times New Roman" w:hAnsi="Times New Roman" w:eastAsia="Times New Roman" w:cs="Times New Roman"/>
          <w:color w:val="000000"/>
        </w:rPr>
      </w:r>
    </w:p>
    <w:bookmarkStart w:id="10" w:name="Xb0151a1f59fe0edfc4b902880a9fcb7ee6622c1"/>
    <w:p>
      <w:pPr>
        <w:pStyle w:val="Heading2"/>
      </w:pPr>
      <w:r>
        <w:t xml:space="preserve">1.1. World Bank July Review Notes and Project Standardization</w:t>
        <w:rPr>
          <w:rFonts w:ascii="Times New Roman" w:hAnsi="Times New Roman" w:eastAsia="Times New Roman" w:cs="Times New Roman"/>
          <w:color w:val="000000"/>
        </w:rPr>
      </w:r>
    </w:p>
    <w:p>
      <w:pPr>
        <w:pStyle w:val="FirstParagraph"/>
        <w:spacing w:before="0" w:after="100" w:line="360" w:lineRule="auto"/>
        <w:jc w:val="both"/>
      </w:pPr>
      <w:r>
        <w:t xml:space="preserve">Following the formal feedback from the World Bank Task Team Leader (TTL) and peer reviewers on the July progress documentation:</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Standard Project Nomenclature:</w:t>
      </w:r>
      <w:r>
        <w:t xml:space="preserve"> </w:t>
        <w:rPr>
          <w:rFonts w:ascii="Times New Roman" w:hAnsi="Times New Roman" w:eastAsia="Times New Roman" w:cs="Times New Roman"/>
          <w:color w:val="000000"/>
          <w:sz w:val="23"/>
          <w:szCs w:val="23"/>
        </w:rPr>
      </w:r>
      <w:r>
        <w:t xml:space="preserve">The formal Turkish project designation has been standardized across all technical deliverables, cartographic outputs, and digital interfaces as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“Dirençli İzmir: Afet Risklerinin Azaltımı İçin Stratejik ve Kapsayıcı Bir Yaklaşım Projesi”</w:t>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rPr>
          <w:i/>
          <w:iCs/>
          <w:rFonts w:ascii="Times New Roman" w:hAnsi="Times New Roman" w:eastAsia="Times New Roman" w:cs="Times New Roman"/>
          <w:color w:val="000000"/>
          <w:sz w:val="23"/>
          <w:szCs w:val="23"/>
        </w:rPr>
        <w:t xml:space="preserve">Resilient İzmir: A Strategic and Inclusive Approach to Disaster Risk Reduction</w:t>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Thematic Division of Labor:</w:t>
      </w:r>
      <w:r>
        <w:t xml:space="preserve"> </w:t>
        <w:rPr>
          <w:rFonts w:ascii="Times New Roman" w:hAnsi="Times New Roman" w:eastAsia="Times New Roman" w:cs="Times New Roman"/>
          <w:color w:val="000000"/>
          <w:sz w:val="23"/>
          <w:szCs w:val="23"/>
        </w:rPr>
      </w:r>
      <w:r>
        <w:t xml:space="preserve">Mass movement and landslide screening is anchored by Prof. Dr. Hasan Sözbilir, while riverine/pluvial flood hazard modeling is led by Assoc. Prof. Dr. Egemen Aras and Dr. Uğur Serencam. The core urban planning, spatial analytics, and multi-hazard synthesis team under Prof. Dr. Hilmi Evren Erdin focuses on the primary seismic hazard backbone, urban system fragility, accessibility corridors, and neighborhood-level prioritization models.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Economic Evaluation Methodology (CBA):</w:t>
      </w:r>
      <w:r>
        <w:t xml:space="preserve"> </w:t>
        <w:rPr>
          <w:rFonts w:ascii="Times New Roman" w:hAnsi="Times New Roman" w:eastAsia="Times New Roman" w:cs="Times New Roman"/>
          <w:color w:val="000000"/>
          <w:sz w:val="23"/>
          <w:szCs w:val="23"/>
        </w:rPr>
      </w:r>
      <w:r>
        <w:t xml:space="preserve">The economic evaluation stream is structured in accordance with the World Bank’s standard</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“Cost-Benefit Analysis / Triple Dividend”</w:t>
      </w:r>
      <w:r>
        <w:t xml:space="preserve"> </w:t>
        <w:rPr>
          <w:rFonts w:ascii="Times New Roman" w:hAnsi="Times New Roman" w:eastAsia="Times New Roman" w:cs="Times New Roman"/>
          <w:color w:val="000000"/>
          <w:sz w:val="23"/>
          <w:szCs w:val="23"/>
        </w:rPr>
      </w:r>
      <w:r>
        <w:t xml:space="preserve">framework, led by Assoc. Prof. Dr. İsmail Çağrı Özcan, ensuring clear Economic Internal Rate of Return (EIRR) and Net Present Value (NPV) metrics for investment packages S-01 through S-06.</w:t>
        <w:rPr>
          <w:rFonts w:ascii="Times New Roman" w:hAnsi="Times New Roman" w:eastAsia="Times New Roman" w:cs="Times New Roman"/>
          <w:color w:val="000000"/>
          <w:sz w:val="23"/>
          <w:szCs w:val="23"/>
        </w:rPr>
      </w:r>
    </w:p>
    <w:bookmarkEnd w:id="10"/>
    <w:bookmarkStart w:id="11" w:name="Xa4874bb079e63ce30fc0f8b1e3338db4d8e3356"/>
    <w:p>
      <w:pPr>
        <w:pStyle w:val="Heading2"/>
      </w:pPr>
      <w:r>
        <w:t xml:space="preserve">1.2. AFAD Technical Coordination Meeting Resolutions</w:t>
        <w:rPr>
          <w:rFonts w:ascii="Times New Roman" w:hAnsi="Times New Roman" w:eastAsia="Times New Roman" w:cs="Times New Roman"/>
          <w:color w:val="000000"/>
        </w:rPr>
      </w:r>
    </w:p>
    <w:p>
      <w:pPr>
        <w:pStyle w:val="FirstParagraph"/>
        <w:spacing w:before="0" w:after="100" w:line="360" w:lineRule="auto"/>
        <w:jc w:val="both"/>
      </w:pPr>
      <w:r>
        <w:t xml:space="preserve">The decisions ratified during the coordination session with AFAD and World Bank leadership encompass: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Finalization of the Critical Infrastructure Asset Roster:</w:t>
      </w:r>
      <w:r>
        <w:t xml:space="preserve"> </w:t>
        <w:rPr>
          <w:rFonts w:ascii="Times New Roman" w:hAnsi="Times New Roman" w:eastAsia="Times New Roman" w:cs="Times New Roman"/>
          <w:color w:val="000000"/>
          <w:sz w:val="23"/>
          <w:szCs w:val="23"/>
        </w:rPr>
      </w:r>
      <w:r>
        <w:t xml:space="preserve">Aligning nomenclature with AFAD’s National Disaster Risk Reduction Plan (İRAP/TARAP) terminology and adopting 9 critical infrastructure sectors.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Central Pre-Processing and Interdisciplinary Distribution:</w:t>
      </w:r>
      <w:r>
        <w:t xml:space="preserve"> </w:t>
        <w:rPr>
          <w:rFonts w:ascii="Times New Roman" w:hAnsi="Times New Roman" w:eastAsia="Times New Roman" w:cs="Times New Roman"/>
          <w:color w:val="000000"/>
          <w:sz w:val="23"/>
          <w:szCs w:val="23"/>
        </w:rPr>
      </w:r>
      <w:r>
        <w:t xml:space="preserve">Centralized ingestion, topological cleaning, and CRS transformation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EPSG:5253 / TUREF TM27</w:t>
      </w:r>
      <w:r>
        <w:t xml:space="preserve">) before releasing tailored sub-packages to thematic investigators.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Secure Shared Data Repository:</w:t>
      </w:r>
      <w:r>
        <w:t xml:space="preserve"> </w:t>
        <w:rPr>
          <w:rFonts w:ascii="Times New Roman" w:hAnsi="Times New Roman" w:eastAsia="Times New Roman" w:cs="Times New Roman"/>
          <w:color w:val="000000"/>
          <w:sz w:val="23"/>
          <w:szCs w:val="23"/>
        </w:rPr>
      </w:r>
      <w:r>
        <w:t xml:space="preserve">Deploying an authenticated collaborative cloud workspace (Google Drive &amp; Project GIS Repository) to eliminate version fragmentation and preserve institutional security protocols.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Timeline Milestones toward December 31 Target:</w:t>
      </w:r>
      <w:r>
        <w:t xml:space="preserve"> </w:t>
        <w:rPr>
          <w:rFonts w:ascii="Times New Roman" w:hAnsi="Times New Roman" w:eastAsia="Times New Roman" w:cs="Times New Roman"/>
          <w:color w:val="000000"/>
          <w:sz w:val="23"/>
          <w:szCs w:val="23"/>
        </w:rPr>
      </w:r>
      <w:r>
        <w:t xml:space="preserve">Synchronizing deliverable schedules to ensure comprehensive final delivery of D1 through D4 packages by December 31, 2026.</w:t>
        <w:rPr>
          <w:rFonts w:ascii="Times New Roman" w:hAnsi="Times New Roman" w:eastAsia="Times New Roman" w:cs="Times New Roman"/>
          <w:color w:val="000000"/>
          <w:sz w:val="23"/>
          <w:szCs w:val="23"/>
        </w:rPr>
      </w:r>
    </w:p>
    <w:p>
      <w:r>
        <w:pict>
          <ns5:rect style="width:0;height:1.5pt" ns6:hralign="center" ns6:hrstd="t" ns6:hr="t"/>
        </w:pict>
        <w:rPr>
          <w:rFonts w:ascii="Times New Roman" w:hAnsi="Times New Roman" w:eastAsia="Times New Roman" w:cs="Times New Roman"/>
          <w:color w:val="000000"/>
          <w:sz w:val="23"/>
          <w:szCs w:val="23"/>
        </w:rPr>
      </w:r>
      <w:pPr>
        <w:spacing w:before="0" w:after="100" w:line="360" w:lineRule="auto"/>
        <w:jc w:val="both"/>
      </w:pPr>
    </w:p>
    <w:bookmarkEnd w:id="11"/>
    <w:bookmarkEnd w:id="12"/>
    <w:bookmarkStart w:id="15" w:name="X6fc4ee87213a3af101dc3f445c09ed09103830a"/>
    <w:p>
      <w:pPr>
        <w:pStyle w:val="Heading1"/>
      </w:pPr>
      <w:r>
        <w:t xml:space="preserve">SECTION 2: AFAD CRITICAL INFRASTRUCTURE TAXONOMY AND ANALYSIS LAYERS</w:t>
        <w:rPr>
          <w:rFonts w:ascii="Times New Roman" w:hAnsi="Times New Roman" w:eastAsia="Times New Roman" w:cs="Times New Roman"/>
          <w:color w:val="000000"/>
        </w:rPr>
      </w:r>
    </w:p>
    <w:bookmarkStart w:id="13" w:name="Xe1b0f3041536d2c059f78997bb97822099ee5f8"/>
    <w:p>
      <w:pPr>
        <w:pStyle w:val="Heading2"/>
      </w:pPr>
      <w:r>
        <w:t xml:space="preserve">2.1. Nine Critical Infrastructure Sectors (Levels 1–3 Mapping)</w:t>
        <w:rPr>
          <w:rFonts w:ascii="Times New Roman" w:hAnsi="Times New Roman" w:eastAsia="Times New Roman" w:cs="Times New Roman"/>
          <w:color w:val="000000"/>
        </w:rPr>
      </w:r>
    </w:p>
    <w:p>
      <w:pPr>
        <w:pStyle w:val="FirstParagraph"/>
        <w:spacing w:before="0" w:after="100" w:line="360" w:lineRule="auto"/>
        <w:jc w:val="both"/>
      </w:pPr>
      <w:r>
        <w:t xml:space="preserve">In accordance with the consensus reached in</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Kritik_Altyapılar_Taxonomi_Analizler.xlsx</w:t>
      </w:r>
      <w:r>
        <w:t xml:space="preserve">, the İzmir metropolitan inventory is classified into the following 9 strategic sectors:</w:t>
        <w:rPr>
          <w:rFonts w:ascii="Times New Roman" w:hAnsi="Times New Roman" w:eastAsia="Times New Roman" w:cs="Times New Roman"/>
          <w:color w:val="000000"/>
          <w:sz w:val="23"/>
          <w:szCs w:val="23"/>
        </w:rPr>
      </w:r>
    </w:p>
    <w:p>
      <w:pPr>
        <w:pStyle w:val="BodyText"/>
        <w:spacing w:before="0" w:after="100" w:line="360" w:lineRule="auto"/>
        <w:jc w:val="both"/>
      </w:pPr>
      <w:r>
        <w:rPr>
          <w:b/>
          <w:bCs/>
          <w:rFonts w:ascii="Times New Roman" w:hAnsi="Times New Roman" w:eastAsia="Times New Roman" w:cs="Times New Roman"/>
          <w:color w:val="000000"/>
          <w:sz w:val="23"/>
          <w:szCs w:val="23"/>
        </w:rPr>
        <w:t xml:space="preserve">Table 1: Critical Infrastructure Sectors, Sub-Systems, and İzmir Metropolitan Assets</w:t>
      </w:r>
    </w:p>
    <w:tbl>
      <w:tblPr>
        <w:tblStyle w:val="Table"/>
        <w:tblW w:type="auto" w:w="0"/>
        <w:tblLayout w:type="autofit"/>
        <w:tblLook w:firstRow="1" w:lastRow="0" w:firstColumn="0" w:lastColumn="0" w:noHBand="0" w:noVBand="0" w:val="0020"/>
      </w:tblPr>
      <w:tblGrid>
        <w:gridCol w:w="1320"/>
        <w:gridCol w:w="1320"/>
        <w:gridCol w:w="1320"/>
        <w:gridCol w:w="1320"/>
        <w:gridCol w:w="1320"/>
        <w:gridCol w:w="1320"/>
      </w:tblGrid>
      <w:tr>
        <w:trPr>
          <w:tblHeader w:val="1"/>
          <w:cantSplit/>
        </w:trPr>
        <w:tc>
          <w:tcPr>
            <w:tcBorders>
              <w:top w:val="single" w:sz="8" w:space="0" w:color="000000"/>
              <w:bottom w:val="single" w:sz="8" w:space="0" w:color="000000"/>
            </w:tcBorders>
          </w:tcPr>
          <w:p>
            <w:pPr>
              <w:pStyle w:val="Compact"/>
              <w:spacing w:before="40" w:after="40" w:line="240" w:lineRule="auto"/>
            </w:pPr>
            <w:r>
              <w:t xml:space="preserve">Level 1: Sector</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Level 2: Sub-System</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Level 3: Asset / Component Type</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Geometry</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Extracted İzmir Inventory</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Lead Data Provider</w:t>
              <w:rPr>
                <w:b/>
                <w:bCs/>
                <w:rFonts w:ascii="Times New Roman" w:hAnsi="Times New Roman" w:eastAsia="Times New Roman" w:cs="Times New Roman"/>
                <w:color w:val="000000"/>
                <w:sz w:val="19"/>
                <w:szCs w:val="19"/>
              </w:rPr>
            </w:r>
          </w:p>
        </w:tc>
      </w:tr>
      <w:tr>
        <w:tc>
          <w:tcPr/>
          <w:p>
            <w:pPr>
              <w:pStyle w:val="Compact"/>
              <w:spacing w:before="40" w:after="40" w:line="240" w:lineRule="auto"/>
            </w:pPr>
            <w:r>
              <w:rPr>
                <w:b/>
                <w:bCs/>
                <w:rFonts w:ascii="Times New Roman" w:hAnsi="Times New Roman" w:eastAsia="Times New Roman" w:cs="Times New Roman"/>
                <w:color w:val="000000"/>
                <w:sz w:val="19"/>
                <w:szCs w:val="19"/>
              </w:rPr>
              <w:t xml:space="preserve">1. Energy</w:t>
            </w:r>
          </w:p>
        </w:tc>
        <w:tc>
          <w:tcPr/>
          <w:p>
            <w:pPr>
              <w:pStyle w:val="Compact"/>
              <w:spacing w:before="40" w:after="40" w:line="240" w:lineRule="auto"/>
            </w:pPr>
            <w:r>
              <w:t xml:space="preserve">Power Transmission</w:t>
              <w:rPr>
                <w:rFonts w:ascii="Times New Roman" w:hAnsi="Times New Roman" w:eastAsia="Times New Roman" w:cs="Times New Roman"/>
                <w:color w:val="000000"/>
                <w:sz w:val="19"/>
                <w:szCs w:val="19"/>
              </w:rPr>
            </w:r>
          </w:p>
        </w:tc>
        <w:tc>
          <w:tcPr/>
          <w:p>
            <w:pPr>
              <w:pStyle w:val="Compact"/>
              <w:spacing w:before="40" w:after="40" w:line="240" w:lineRule="auto"/>
            </w:pPr>
            <w:r>
              <w:t xml:space="preserve">Substation / Switchyard (154/380 kV)</w:t>
              <w:rPr>
                <w:rFonts w:ascii="Times New Roman" w:hAnsi="Times New Roman" w:eastAsia="Times New Roman" w:cs="Times New Roman"/>
                <w:color w:val="000000"/>
                <w:sz w:val="19"/>
                <w:szCs w:val="19"/>
              </w:rPr>
            </w:r>
          </w:p>
        </w:tc>
        <w:tc>
          <w:tcPr/>
          <w:p>
            <w:pPr>
              <w:pStyle w:val="Compact"/>
              <w:spacing w:before="40" w:after="40" w:line="240" w:lineRule="auto"/>
            </w:pPr>
            <w:r>
              <w:t xml:space="preserve">Point</w:t>
              <w:rPr>
                <w:rFonts w:ascii="Times New Roman" w:hAnsi="Times New Roman" w:eastAsia="Times New Roman" w:cs="Times New Roman"/>
                <w:color w:val="000000"/>
                <w:sz w:val="19"/>
                <w:szCs w:val="19"/>
              </w:rPr>
            </w:r>
          </w:p>
        </w:tc>
        <w:tc>
          <w:tcPr/>
          <w:p>
            <w:pPr>
              <w:pStyle w:val="Compact"/>
              <w:spacing w:before="40" w:after="40" w:line="240" w:lineRule="auto"/>
            </w:pPr>
            <w:r>
              <w:t xml:space="preserve">109 Primary Substations</w:t>
              <w:rPr>
                <w:rFonts w:ascii="Times New Roman" w:hAnsi="Times New Roman" w:eastAsia="Times New Roman" w:cs="Times New Roman"/>
                <w:color w:val="000000"/>
                <w:sz w:val="19"/>
                <w:szCs w:val="19"/>
              </w:rPr>
            </w:r>
          </w:p>
        </w:tc>
        <w:tc>
          <w:tcPr/>
          <w:p>
            <w:pPr>
              <w:pStyle w:val="Compact"/>
              <w:spacing w:before="40" w:after="40" w:line="240" w:lineRule="auto"/>
            </w:pPr>
            <w:r>
              <w:t xml:space="preserve">TEİAŞ 3rd Region</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Power Transmission</w:t>
              <w:rPr>
                <w:rFonts w:ascii="Times New Roman" w:hAnsi="Times New Roman" w:eastAsia="Times New Roman" w:cs="Times New Roman"/>
                <w:color w:val="000000"/>
                <w:sz w:val="19"/>
                <w:szCs w:val="19"/>
              </w:rPr>
            </w:r>
          </w:p>
        </w:tc>
        <w:tc>
          <w:tcPr/>
          <w:p>
            <w:pPr>
              <w:pStyle w:val="Compact"/>
              <w:spacing w:before="40" w:after="40" w:line="240" w:lineRule="auto"/>
            </w:pPr>
            <w:r>
              <w:t xml:space="preserve">High-Voltage Overhead Transmission Line</w:t>
              <w:rPr>
                <w:rFonts w:ascii="Times New Roman" w:hAnsi="Times New Roman" w:eastAsia="Times New Roman" w:cs="Times New Roman"/>
                <w:color w:val="000000"/>
                <w:sz w:val="19"/>
                <w:szCs w:val="19"/>
              </w:rPr>
            </w:r>
          </w:p>
        </w:tc>
        <w:tc>
          <w:tcPr/>
          <w:p>
            <w:pPr>
              <w:pStyle w:val="Compact"/>
              <w:spacing w:before="40" w:after="40" w:line="240" w:lineRule="auto"/>
            </w:pPr>
            <w:r>
              <w:t xml:space="preserve">Line</w:t>
              <w:rPr>
                <w:rFonts w:ascii="Times New Roman" w:hAnsi="Times New Roman" w:eastAsia="Times New Roman" w:cs="Times New Roman"/>
                <w:color w:val="000000"/>
                <w:sz w:val="19"/>
                <w:szCs w:val="19"/>
              </w:rPr>
            </w:r>
          </w:p>
        </w:tc>
        <w:tc>
          <w:tcPr/>
          <w:p>
            <w:pPr>
              <w:pStyle w:val="Compact"/>
              <w:spacing w:before="40" w:after="40" w:line="240" w:lineRule="auto"/>
            </w:pPr>
            <w:r>
              <w:t xml:space="preserve">128 Transmission Segments</w:t>
              <w:rPr>
                <w:rFonts w:ascii="Times New Roman" w:hAnsi="Times New Roman" w:eastAsia="Times New Roman" w:cs="Times New Roman"/>
                <w:color w:val="000000"/>
                <w:sz w:val="19"/>
                <w:szCs w:val="19"/>
              </w:rPr>
            </w:r>
          </w:p>
        </w:tc>
        <w:tc>
          <w:tcPr/>
          <w:p>
            <w:pPr>
              <w:pStyle w:val="Compact"/>
              <w:spacing w:before="40" w:after="40" w:line="240" w:lineRule="auto"/>
            </w:pPr>
            <w:r>
              <w:t xml:space="preserve">TEİAŞ 3rd Region</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Power Distribution</w:t>
              <w:rPr>
                <w:rFonts w:ascii="Times New Roman" w:hAnsi="Times New Roman" w:eastAsia="Times New Roman" w:cs="Times New Roman"/>
                <w:color w:val="000000"/>
                <w:sz w:val="19"/>
                <w:szCs w:val="19"/>
              </w:rPr>
            </w:r>
          </w:p>
        </w:tc>
        <w:tc>
          <w:tcPr/>
          <w:p>
            <w:pPr>
              <w:pStyle w:val="Compact"/>
              <w:spacing w:before="40" w:after="40" w:line="240" w:lineRule="auto"/>
            </w:pPr>
            <w:r>
              <w:t xml:space="preserve">Underground High-Voltage Cable Line</w:t>
              <w:rPr>
                <w:rFonts w:ascii="Times New Roman" w:hAnsi="Times New Roman" w:eastAsia="Times New Roman" w:cs="Times New Roman"/>
                <w:color w:val="000000"/>
                <w:sz w:val="19"/>
                <w:szCs w:val="19"/>
              </w:rPr>
            </w:r>
          </w:p>
        </w:tc>
        <w:tc>
          <w:tcPr/>
          <w:p>
            <w:pPr>
              <w:pStyle w:val="Compact"/>
              <w:spacing w:before="40" w:after="40" w:line="240" w:lineRule="auto"/>
            </w:pPr>
            <w:r>
              <w:t xml:space="preserve">Line</w:t>
              <w:rPr>
                <w:rFonts w:ascii="Times New Roman" w:hAnsi="Times New Roman" w:eastAsia="Times New Roman" w:cs="Times New Roman"/>
                <w:color w:val="000000"/>
                <w:sz w:val="19"/>
                <w:szCs w:val="19"/>
              </w:rPr>
            </w:r>
          </w:p>
        </w:tc>
        <w:tc>
          <w:tcPr/>
          <w:p>
            <w:pPr>
              <w:pStyle w:val="Compact"/>
              <w:spacing w:before="40" w:after="40" w:line="240" w:lineRule="auto"/>
            </w:pPr>
            <w:r>
              <w:t xml:space="preserve">170 Underground Lines</w:t>
              <w:rPr>
                <w:rFonts w:ascii="Times New Roman" w:hAnsi="Times New Roman" w:eastAsia="Times New Roman" w:cs="Times New Roman"/>
                <w:color w:val="000000"/>
                <w:sz w:val="19"/>
                <w:szCs w:val="19"/>
              </w:rPr>
            </w:r>
          </w:p>
        </w:tc>
        <w:tc>
          <w:tcPr/>
          <w:p>
            <w:pPr>
              <w:pStyle w:val="Compact"/>
              <w:spacing w:before="40" w:after="40" w:line="240" w:lineRule="auto"/>
            </w:pPr>
            <w:r>
              <w:t xml:space="preserve">TEİAŞ 3rd Region</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Natural Gas</w:t>
              <w:rPr>
                <w:rFonts w:ascii="Times New Roman" w:hAnsi="Times New Roman" w:eastAsia="Times New Roman" w:cs="Times New Roman"/>
                <w:color w:val="000000"/>
                <w:sz w:val="19"/>
                <w:szCs w:val="19"/>
              </w:rPr>
            </w:r>
          </w:p>
        </w:tc>
        <w:tc>
          <w:tcPr/>
          <w:p>
            <w:pPr>
              <w:pStyle w:val="Compact"/>
              <w:spacing w:before="40" w:after="40" w:line="240" w:lineRule="auto"/>
            </w:pPr>
            <w:r>
              <w:t xml:space="preserve">High-Pressure Gas Transmission Pipeline</w:t>
              <w:rPr>
                <w:rFonts w:ascii="Times New Roman" w:hAnsi="Times New Roman" w:eastAsia="Times New Roman" w:cs="Times New Roman"/>
                <w:color w:val="000000"/>
                <w:sz w:val="19"/>
                <w:szCs w:val="19"/>
              </w:rPr>
            </w:r>
          </w:p>
        </w:tc>
        <w:tc>
          <w:tcPr/>
          <w:p>
            <w:pPr>
              <w:pStyle w:val="Compact"/>
              <w:spacing w:before="40" w:after="40" w:line="240" w:lineRule="auto"/>
            </w:pPr>
            <w:r>
              <w:t xml:space="preserve">Line</w:t>
              <w:rPr>
                <w:rFonts w:ascii="Times New Roman" w:hAnsi="Times New Roman" w:eastAsia="Times New Roman" w:cs="Times New Roman"/>
                <w:color w:val="000000"/>
                <w:sz w:val="19"/>
                <w:szCs w:val="19"/>
              </w:rPr>
            </w:r>
          </w:p>
        </w:tc>
        <w:tc>
          <w:tcPr/>
          <w:p>
            <w:pPr>
              <w:pStyle w:val="Compact"/>
              <w:spacing w:before="40" w:after="40" w:line="240" w:lineRule="auto"/>
            </w:pPr>
            <w:r>
              <w:t xml:space="preserve">28 Main Transmission Lines</w:t>
              <w:rPr>
                <w:rFonts w:ascii="Times New Roman" w:hAnsi="Times New Roman" w:eastAsia="Times New Roman" w:cs="Times New Roman"/>
                <w:color w:val="000000"/>
                <w:sz w:val="19"/>
                <w:szCs w:val="19"/>
              </w:rPr>
            </w:r>
          </w:p>
        </w:tc>
        <w:tc>
          <w:tcPr/>
          <w:p>
            <w:pPr>
              <w:pStyle w:val="Compact"/>
              <w:spacing w:before="40" w:after="40" w:line="240" w:lineRule="auto"/>
            </w:pPr>
            <w:r>
              <w:t xml:space="preserve">BOTAŞ / AYDES</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r>
              <w:rPr>
                <w:b/>
                <w:bCs/>
                <w:rFonts w:ascii="Times New Roman" w:hAnsi="Times New Roman" w:eastAsia="Times New Roman" w:cs="Times New Roman"/>
                <w:color w:val="000000"/>
                <w:sz w:val="19"/>
                <w:szCs w:val="19"/>
              </w:rPr>
              <w:t xml:space="preserve">2. Transport</w:t>
            </w:r>
          </w:p>
        </w:tc>
        <w:tc>
          <w:tcPr/>
          <w:p>
            <w:pPr>
              <w:pStyle w:val="Compact"/>
              <w:spacing w:before="40" w:after="40" w:line="240" w:lineRule="auto"/>
            </w:pPr>
            <w:r>
              <w:t xml:space="preserve">Highway / Arterial</w:t>
              <w:rPr>
                <w:rFonts w:ascii="Times New Roman" w:hAnsi="Times New Roman" w:eastAsia="Times New Roman" w:cs="Times New Roman"/>
                <w:color w:val="000000"/>
                <w:sz w:val="19"/>
                <w:szCs w:val="19"/>
              </w:rPr>
            </w:r>
          </w:p>
        </w:tc>
        <w:tc>
          <w:tcPr/>
          <w:p>
            <w:pPr>
              <w:pStyle w:val="Compact"/>
              <w:spacing w:before="40" w:after="40" w:line="240" w:lineRule="auto"/>
            </w:pPr>
            <w:r>
              <w:t xml:space="preserve">Grade-Separated Junction / Interchange</w:t>
              <w:rPr>
                <w:rFonts w:ascii="Times New Roman" w:hAnsi="Times New Roman" w:eastAsia="Times New Roman" w:cs="Times New Roman"/>
                <w:color w:val="000000"/>
                <w:sz w:val="19"/>
                <w:szCs w:val="19"/>
              </w:rPr>
            </w:r>
          </w:p>
        </w:tc>
        <w:tc>
          <w:tcPr/>
          <w:p>
            <w:pPr>
              <w:pStyle w:val="Compact"/>
              <w:spacing w:before="40" w:after="40" w:line="240" w:lineRule="auto"/>
            </w:pPr>
            <w:r>
              <w:t xml:space="preserve">Point</w:t>
              <w:rPr>
                <w:rFonts w:ascii="Times New Roman" w:hAnsi="Times New Roman" w:eastAsia="Times New Roman" w:cs="Times New Roman"/>
                <w:color w:val="000000"/>
                <w:sz w:val="19"/>
                <w:szCs w:val="19"/>
              </w:rPr>
            </w:r>
          </w:p>
        </w:tc>
        <w:tc>
          <w:tcPr/>
          <w:p>
            <w:pPr>
              <w:pStyle w:val="Compact"/>
              <w:spacing w:before="40" w:after="40" w:line="240" w:lineRule="auto"/>
            </w:pPr>
            <w:r>
              <w:t xml:space="preserve">115 Strategic Interchanges</w:t>
              <w:rPr>
                <w:rFonts w:ascii="Times New Roman" w:hAnsi="Times New Roman" w:eastAsia="Times New Roman" w:cs="Times New Roman"/>
                <w:color w:val="000000"/>
                <w:sz w:val="19"/>
                <w:szCs w:val="19"/>
              </w:rPr>
            </w:r>
          </w:p>
        </w:tc>
        <w:tc>
          <w:tcPr/>
          <w:p>
            <w:pPr>
              <w:pStyle w:val="Compact"/>
              <w:spacing w:before="40" w:after="40" w:line="240" w:lineRule="auto"/>
            </w:pPr>
            <w:r>
              <w:t xml:space="preserve">KGM 2nd Region</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Highway / Arterial</w:t>
              <w:rPr>
                <w:rFonts w:ascii="Times New Roman" w:hAnsi="Times New Roman" w:eastAsia="Times New Roman" w:cs="Times New Roman"/>
                <w:color w:val="000000"/>
                <w:sz w:val="19"/>
                <w:szCs w:val="19"/>
              </w:rPr>
            </w:r>
          </w:p>
        </w:tc>
        <w:tc>
          <w:tcPr/>
          <w:p>
            <w:pPr>
              <w:pStyle w:val="Compact"/>
              <w:spacing w:before="40" w:after="40" w:line="240" w:lineRule="auto"/>
            </w:pPr>
            <w:r>
              <w:t xml:space="preserve">Road Tunnel</w:t>
              <w:rPr>
                <w:rFonts w:ascii="Times New Roman" w:hAnsi="Times New Roman" w:eastAsia="Times New Roman" w:cs="Times New Roman"/>
                <w:color w:val="000000"/>
                <w:sz w:val="19"/>
                <w:szCs w:val="19"/>
              </w:rPr>
            </w:r>
          </w:p>
        </w:tc>
        <w:tc>
          <w:tcPr/>
          <w:p>
            <w:pPr>
              <w:pStyle w:val="Compact"/>
              <w:spacing w:before="40" w:after="40" w:line="240" w:lineRule="auto"/>
            </w:pPr>
            <w:r>
              <w:t xml:space="preserve">Point/Line</w:t>
              <w:rPr>
                <w:rFonts w:ascii="Times New Roman" w:hAnsi="Times New Roman" w:eastAsia="Times New Roman" w:cs="Times New Roman"/>
                <w:color w:val="000000"/>
                <w:sz w:val="19"/>
                <w:szCs w:val="19"/>
              </w:rPr>
            </w:r>
          </w:p>
        </w:tc>
        <w:tc>
          <w:tcPr/>
          <w:p>
            <w:pPr>
              <w:pStyle w:val="Compact"/>
              <w:spacing w:before="40" w:after="40" w:line="240" w:lineRule="auto"/>
            </w:pPr>
            <w:r>
              <w:t xml:space="preserve">6 Tunnels (Selatin, Bayraklı etc.)</w:t>
              <w:rPr>
                <w:rFonts w:ascii="Times New Roman" w:hAnsi="Times New Roman" w:eastAsia="Times New Roman" w:cs="Times New Roman"/>
                <w:color w:val="000000"/>
                <w:sz w:val="19"/>
                <w:szCs w:val="19"/>
              </w:rPr>
            </w:r>
          </w:p>
        </w:tc>
        <w:tc>
          <w:tcPr/>
          <w:p>
            <w:pPr>
              <w:pStyle w:val="Compact"/>
              <w:spacing w:before="40" w:after="40" w:line="240" w:lineRule="auto"/>
            </w:pPr>
            <w:r>
              <w:t xml:space="preserve">KGM 2nd Region</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Highway / Arterial</w:t>
              <w:rPr>
                <w:rFonts w:ascii="Times New Roman" w:hAnsi="Times New Roman" w:eastAsia="Times New Roman" w:cs="Times New Roman"/>
                <w:color w:val="000000"/>
                <w:sz w:val="19"/>
                <w:szCs w:val="19"/>
              </w:rPr>
            </w:r>
          </w:p>
        </w:tc>
        <w:tc>
          <w:tcPr/>
          <w:p>
            <w:pPr>
              <w:pStyle w:val="Compact"/>
              <w:spacing w:before="40" w:after="40" w:line="240" w:lineRule="auto"/>
            </w:pPr>
            <w:r>
              <w:t xml:space="preserve">Highway &amp; State Road Bridges / Viaducts</w:t>
              <w:rPr>
                <w:rFonts w:ascii="Times New Roman" w:hAnsi="Times New Roman" w:eastAsia="Times New Roman" w:cs="Times New Roman"/>
                <w:color w:val="000000"/>
                <w:sz w:val="19"/>
                <w:szCs w:val="19"/>
              </w:rPr>
            </w:r>
          </w:p>
        </w:tc>
        <w:tc>
          <w:tcPr/>
          <w:p>
            <w:pPr>
              <w:pStyle w:val="Compact"/>
              <w:spacing w:before="40" w:after="40" w:line="240" w:lineRule="auto"/>
            </w:pPr>
            <w:r>
              <w:t xml:space="preserve">Point/Asset</w:t>
              <w:rPr>
                <w:rFonts w:ascii="Times New Roman" w:hAnsi="Times New Roman" w:eastAsia="Times New Roman" w:cs="Times New Roman"/>
                <w:color w:val="000000"/>
                <w:sz w:val="19"/>
                <w:szCs w:val="19"/>
              </w:rPr>
            </w:r>
          </w:p>
        </w:tc>
        <w:tc>
          <w:tcPr/>
          <w:p>
            <w:pPr>
              <w:pStyle w:val="Compact"/>
              <w:spacing w:before="40" w:after="40" w:line="240" w:lineRule="auto"/>
            </w:pPr>
            <w:r>
              <w:t xml:space="preserve">983 Bridges &amp; Overpasses</w:t>
              <w:rPr>
                <w:rFonts w:ascii="Times New Roman" w:hAnsi="Times New Roman" w:eastAsia="Times New Roman" w:cs="Times New Roman"/>
                <w:color w:val="000000"/>
                <w:sz w:val="19"/>
                <w:szCs w:val="19"/>
              </w:rPr>
            </w:r>
          </w:p>
        </w:tc>
        <w:tc>
          <w:tcPr/>
          <w:p>
            <w:pPr>
              <w:pStyle w:val="Compact"/>
              <w:spacing w:before="40" w:after="40" w:line="240" w:lineRule="auto"/>
            </w:pPr>
            <w:r>
              <w:t xml:space="preserve">KGM 2nd Region</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Aviation</w:t>
              <w:rPr>
                <w:rFonts w:ascii="Times New Roman" w:hAnsi="Times New Roman" w:eastAsia="Times New Roman" w:cs="Times New Roman"/>
                <w:color w:val="000000"/>
                <w:sz w:val="19"/>
                <w:szCs w:val="19"/>
              </w:rPr>
            </w:r>
          </w:p>
        </w:tc>
        <w:tc>
          <w:tcPr/>
          <w:p>
            <w:pPr>
              <w:pStyle w:val="Compact"/>
              <w:spacing w:before="40" w:after="40" w:line="240" w:lineRule="auto"/>
            </w:pPr>
            <w:r>
              <w:t xml:space="preserve">International Airport / Air Base</w:t>
              <w:rPr>
                <w:rFonts w:ascii="Times New Roman" w:hAnsi="Times New Roman" w:eastAsia="Times New Roman" w:cs="Times New Roman"/>
                <w:color w:val="000000"/>
                <w:sz w:val="19"/>
                <w:szCs w:val="19"/>
              </w:rPr>
            </w:r>
          </w:p>
        </w:tc>
        <w:tc>
          <w:tcPr/>
          <w:p>
            <w:pPr>
              <w:pStyle w:val="Compact"/>
              <w:spacing w:before="40" w:after="40" w:line="240" w:lineRule="auto"/>
            </w:pPr>
            <w:r>
              <w:t xml:space="preserve">Point/Poly</w:t>
              <w:rPr>
                <w:rFonts w:ascii="Times New Roman" w:hAnsi="Times New Roman" w:eastAsia="Times New Roman" w:cs="Times New Roman"/>
                <w:color w:val="000000"/>
                <w:sz w:val="19"/>
                <w:szCs w:val="19"/>
              </w:rPr>
            </w:r>
          </w:p>
        </w:tc>
        <w:tc>
          <w:tcPr/>
          <w:p>
            <w:pPr>
              <w:pStyle w:val="Compact"/>
              <w:spacing w:before="40" w:after="40" w:line="240" w:lineRule="auto"/>
            </w:pPr>
            <w:r>
              <w:t xml:space="preserve">4 Facilities (ADB, Çiğli, Kaklıç, Selçuk)</w:t>
              <w:rPr>
                <w:rFonts w:ascii="Times New Roman" w:hAnsi="Times New Roman" w:eastAsia="Times New Roman" w:cs="Times New Roman"/>
                <w:color w:val="000000"/>
                <w:sz w:val="19"/>
                <w:szCs w:val="19"/>
              </w:rPr>
            </w:r>
          </w:p>
        </w:tc>
        <w:tc>
          <w:tcPr/>
          <w:p>
            <w:pPr>
              <w:pStyle w:val="Compact"/>
              <w:spacing w:before="40" w:after="40" w:line="240" w:lineRule="auto"/>
            </w:pPr>
            <w:r>
              <w:t xml:space="preserve">DHMİ / AYDES</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Maritime</w:t>
              <w:rPr>
                <w:rFonts w:ascii="Times New Roman" w:hAnsi="Times New Roman" w:eastAsia="Times New Roman" w:cs="Times New Roman"/>
                <w:color w:val="000000"/>
                <w:sz w:val="19"/>
                <w:szCs w:val="19"/>
              </w:rPr>
            </w:r>
          </w:p>
        </w:tc>
        <w:tc>
          <w:tcPr/>
          <w:p>
            <w:pPr>
              <w:pStyle w:val="Compact"/>
              <w:spacing w:before="40" w:after="40" w:line="240" w:lineRule="auto"/>
            </w:pPr>
            <w:r>
              <w:t xml:space="preserve">Container Port &amp; Passenger Terminals</w:t>
              <w:rPr>
                <w:rFonts w:ascii="Times New Roman" w:hAnsi="Times New Roman" w:eastAsia="Times New Roman" w:cs="Times New Roman"/>
                <w:color w:val="000000"/>
                <w:sz w:val="19"/>
                <w:szCs w:val="19"/>
              </w:rPr>
            </w:r>
          </w:p>
        </w:tc>
        <w:tc>
          <w:tcPr/>
          <w:p>
            <w:pPr>
              <w:pStyle w:val="Compact"/>
              <w:spacing w:before="40" w:after="40" w:line="240" w:lineRule="auto"/>
            </w:pPr>
            <w:r>
              <w:t xml:space="preserve">Point/Poly</w:t>
              <w:rPr>
                <w:rFonts w:ascii="Times New Roman" w:hAnsi="Times New Roman" w:eastAsia="Times New Roman" w:cs="Times New Roman"/>
                <w:color w:val="000000"/>
                <w:sz w:val="19"/>
                <w:szCs w:val="19"/>
              </w:rPr>
            </w:r>
          </w:p>
        </w:tc>
        <w:tc>
          <w:tcPr/>
          <w:p>
            <w:pPr>
              <w:pStyle w:val="Compact"/>
              <w:spacing w:before="40" w:after="40" w:line="240" w:lineRule="auto"/>
            </w:pPr>
            <w:r>
              <w:t xml:space="preserve">6 Ports (Alsancak, Nemrut, Çeşme etc.)</w:t>
              <w:rPr>
                <w:rFonts w:ascii="Times New Roman" w:hAnsi="Times New Roman" w:eastAsia="Times New Roman" w:cs="Times New Roman"/>
                <w:color w:val="000000"/>
                <w:sz w:val="19"/>
                <w:szCs w:val="19"/>
              </w:rPr>
            </w:r>
          </w:p>
        </w:tc>
        <w:tc>
          <w:tcPr/>
          <w:p>
            <w:pPr>
              <w:pStyle w:val="Compact"/>
              <w:spacing w:before="40" w:after="40" w:line="240" w:lineRule="auto"/>
            </w:pPr>
            <w:r>
              <w:t xml:space="preserve">TCDD / AYDES</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Rail</w:t>
              <w:rPr>
                <w:rFonts w:ascii="Times New Roman" w:hAnsi="Times New Roman" w:eastAsia="Times New Roman" w:cs="Times New Roman"/>
                <w:color w:val="000000"/>
                <w:sz w:val="19"/>
                <w:szCs w:val="19"/>
              </w:rPr>
            </w:r>
          </w:p>
        </w:tc>
        <w:tc>
          <w:tcPr/>
          <w:p>
            <w:pPr>
              <w:pStyle w:val="Compact"/>
              <w:spacing w:before="40" w:after="40" w:line="240" w:lineRule="auto"/>
            </w:pPr>
            <w:r>
              <w:t xml:space="preserve">Suburban Rail &amp; Freight Lines</w:t>
              <w:rPr>
                <w:rFonts w:ascii="Times New Roman" w:hAnsi="Times New Roman" w:eastAsia="Times New Roman" w:cs="Times New Roman"/>
                <w:color w:val="000000"/>
                <w:sz w:val="19"/>
                <w:szCs w:val="19"/>
              </w:rPr>
            </w:r>
          </w:p>
        </w:tc>
        <w:tc>
          <w:tcPr/>
          <w:p>
            <w:pPr>
              <w:pStyle w:val="Compact"/>
              <w:spacing w:before="40" w:after="40" w:line="240" w:lineRule="auto"/>
            </w:pPr>
            <w:r>
              <w:t xml:space="preserve">Line/Point</w:t>
              <w:rPr>
                <w:rFonts w:ascii="Times New Roman" w:hAnsi="Times New Roman" w:eastAsia="Times New Roman" w:cs="Times New Roman"/>
                <w:color w:val="000000"/>
                <w:sz w:val="19"/>
                <w:szCs w:val="19"/>
              </w:rPr>
            </w:r>
          </w:p>
        </w:tc>
        <w:tc>
          <w:tcPr/>
          <w:p>
            <w:pPr>
              <w:pStyle w:val="Compact"/>
              <w:spacing w:before="40" w:after="40" w:line="240" w:lineRule="auto"/>
            </w:pPr>
            <w:r>
              <w:t xml:space="preserve">TCDD &amp; İZBAN Rail Lifeline</w:t>
              <w:rPr>
                <w:rFonts w:ascii="Times New Roman" w:hAnsi="Times New Roman" w:eastAsia="Times New Roman" w:cs="Times New Roman"/>
                <w:color w:val="000000"/>
                <w:sz w:val="19"/>
                <w:szCs w:val="19"/>
              </w:rPr>
            </w:r>
          </w:p>
        </w:tc>
        <w:tc>
          <w:tcPr/>
          <w:p>
            <w:pPr>
              <w:pStyle w:val="Compact"/>
              <w:spacing w:before="40" w:after="40" w:line="240" w:lineRule="auto"/>
            </w:pPr>
            <w:r>
              <w:t xml:space="preserve">TCDD / AYDES</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r>
              <w:rPr>
                <w:b/>
                <w:bCs/>
                <w:rFonts w:ascii="Times New Roman" w:hAnsi="Times New Roman" w:eastAsia="Times New Roman" w:cs="Times New Roman"/>
                <w:color w:val="000000"/>
                <w:sz w:val="19"/>
                <w:szCs w:val="19"/>
              </w:rPr>
              <w:t xml:space="preserve">3. ICT / Telecom</w:t>
            </w:r>
          </w:p>
        </w:tc>
        <w:tc>
          <w:tcPr/>
          <w:p>
            <w:pPr>
              <w:pStyle w:val="Compact"/>
              <w:spacing w:before="40" w:after="40" w:line="240" w:lineRule="auto"/>
            </w:pPr>
            <w:r>
              <w:t xml:space="preserve">Telecom &amp; Data</w:t>
              <w:rPr>
                <w:rFonts w:ascii="Times New Roman" w:hAnsi="Times New Roman" w:eastAsia="Times New Roman" w:cs="Times New Roman"/>
                <w:color w:val="000000"/>
                <w:sz w:val="19"/>
                <w:szCs w:val="19"/>
              </w:rPr>
            </w:r>
          </w:p>
        </w:tc>
        <w:tc>
          <w:tcPr/>
          <w:p>
            <w:pPr>
              <w:pStyle w:val="Compact"/>
              <w:spacing w:before="40" w:after="40" w:line="240" w:lineRule="auto"/>
            </w:pPr>
            <w:r>
              <w:t xml:space="preserve">Central Switches, Fiber Hubs &amp; Masts</w:t>
              <w:rPr>
                <w:rFonts w:ascii="Times New Roman" w:hAnsi="Times New Roman" w:eastAsia="Times New Roman" w:cs="Times New Roman"/>
                <w:color w:val="000000"/>
                <w:sz w:val="19"/>
                <w:szCs w:val="19"/>
              </w:rPr>
            </w:r>
          </w:p>
        </w:tc>
        <w:tc>
          <w:tcPr/>
          <w:p>
            <w:pPr>
              <w:pStyle w:val="Compact"/>
              <w:spacing w:before="40" w:after="40" w:line="240" w:lineRule="auto"/>
            </w:pPr>
            <w:r>
              <w:t xml:space="preserve">Point</w:t>
              <w:rPr>
                <w:rFonts w:ascii="Times New Roman" w:hAnsi="Times New Roman" w:eastAsia="Times New Roman" w:cs="Times New Roman"/>
                <w:color w:val="000000"/>
                <w:sz w:val="19"/>
                <w:szCs w:val="19"/>
              </w:rPr>
            </w:r>
          </w:p>
        </w:tc>
        <w:tc>
          <w:tcPr/>
          <w:p>
            <w:pPr>
              <w:pStyle w:val="Compact"/>
              <w:spacing w:before="40" w:after="40" w:line="240" w:lineRule="auto"/>
            </w:pPr>
            <w:r>
              <w:t xml:space="preserve">Strategic ICT Switching Points</w:t>
              <w:rPr>
                <w:rFonts w:ascii="Times New Roman" w:hAnsi="Times New Roman" w:eastAsia="Times New Roman" w:cs="Times New Roman"/>
                <w:color w:val="000000"/>
                <w:sz w:val="19"/>
                <w:szCs w:val="19"/>
              </w:rPr>
            </w:r>
          </w:p>
        </w:tc>
        <w:tc>
          <w:tcPr/>
          <w:p>
            <w:pPr>
              <w:pStyle w:val="Compact"/>
              <w:spacing w:before="40" w:after="40" w:line="240" w:lineRule="auto"/>
            </w:pPr>
            <w:r>
              <w:t xml:space="preserve">AYDES Facilities</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r>
              <w:rPr>
                <w:b/>
                <w:bCs/>
                <w:rFonts w:ascii="Times New Roman" w:hAnsi="Times New Roman" w:eastAsia="Times New Roman" w:cs="Times New Roman"/>
                <w:color w:val="000000"/>
                <w:sz w:val="19"/>
                <w:szCs w:val="19"/>
              </w:rPr>
              <w:t xml:space="preserve">4. Disaster Logistics</w:t>
            </w:r>
          </w:p>
        </w:tc>
        <w:tc>
          <w:tcPr/>
          <w:p>
            <w:pPr>
              <w:pStyle w:val="Compact"/>
              <w:spacing w:before="40" w:after="40" w:line="240" w:lineRule="auto"/>
            </w:pPr>
            <w:r>
              <w:t xml:space="preserve">Logistics Hubs</w:t>
              <w:rPr>
                <w:rFonts w:ascii="Times New Roman" w:hAnsi="Times New Roman" w:eastAsia="Times New Roman" w:cs="Times New Roman"/>
                <w:color w:val="000000"/>
                <w:sz w:val="19"/>
                <w:szCs w:val="19"/>
              </w:rPr>
            </w:r>
          </w:p>
        </w:tc>
        <w:tc>
          <w:tcPr/>
          <w:p>
            <w:pPr>
              <w:pStyle w:val="Compact"/>
              <w:spacing w:before="40" w:after="40" w:line="240" w:lineRule="auto"/>
            </w:pPr>
            <w:r>
              <w:t xml:space="preserve">Strategic Relief &amp; Shelter Reserves</w:t>
              <w:rPr>
                <w:rFonts w:ascii="Times New Roman" w:hAnsi="Times New Roman" w:eastAsia="Times New Roman" w:cs="Times New Roman"/>
                <w:color w:val="000000"/>
                <w:sz w:val="19"/>
                <w:szCs w:val="19"/>
              </w:rPr>
            </w:r>
          </w:p>
        </w:tc>
        <w:tc>
          <w:tcPr/>
          <w:p>
            <w:pPr>
              <w:pStyle w:val="Compact"/>
              <w:spacing w:before="40" w:after="40" w:line="240" w:lineRule="auto"/>
            </w:pPr>
            <w:r>
              <w:t xml:space="preserve">Point/Poly</w:t>
              <w:rPr>
                <w:rFonts w:ascii="Times New Roman" w:hAnsi="Times New Roman" w:eastAsia="Times New Roman" w:cs="Times New Roman"/>
                <w:color w:val="000000"/>
                <w:sz w:val="19"/>
                <w:szCs w:val="19"/>
              </w:rPr>
            </w:r>
          </w:p>
        </w:tc>
        <w:tc>
          <w:tcPr/>
          <w:p>
            <w:pPr>
              <w:pStyle w:val="Compact"/>
              <w:spacing w:before="40" w:after="40" w:line="240" w:lineRule="auto"/>
            </w:pPr>
            <w:r>
              <w:t xml:space="preserve">ABEP Regional Logistics Hubs</w:t>
              <w:rPr>
                <w:rFonts w:ascii="Times New Roman" w:hAnsi="Times New Roman" w:eastAsia="Times New Roman" w:cs="Times New Roman"/>
                <w:color w:val="000000"/>
                <w:sz w:val="19"/>
                <w:szCs w:val="19"/>
              </w:rPr>
            </w:r>
          </w:p>
        </w:tc>
        <w:tc>
          <w:tcPr/>
          <w:p>
            <w:pPr>
              <w:pStyle w:val="Compact"/>
              <w:spacing w:before="40" w:after="40" w:line="240" w:lineRule="auto"/>
            </w:pPr>
            <w:r>
              <w:t xml:space="preserve">AFAD / İBB</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r>
              <w:rPr>
                <w:b/>
                <w:bCs/>
                <w:rFonts w:ascii="Times New Roman" w:hAnsi="Times New Roman" w:eastAsia="Times New Roman" w:cs="Times New Roman"/>
                <w:color w:val="000000"/>
                <w:sz w:val="19"/>
                <w:szCs w:val="19"/>
              </w:rPr>
              <w:t xml:space="preserve">5. Water &amp; Waste</w:t>
            </w:r>
          </w:p>
        </w:tc>
        <w:tc>
          <w:tcPr/>
          <w:p>
            <w:pPr>
              <w:pStyle w:val="Compact"/>
              <w:spacing w:before="40" w:after="40" w:line="240" w:lineRule="auto"/>
            </w:pPr>
            <w:r>
              <w:t xml:space="preserve">Water Supply</w:t>
              <w:rPr>
                <w:rFonts w:ascii="Times New Roman" w:hAnsi="Times New Roman" w:eastAsia="Times New Roman" w:cs="Times New Roman"/>
                <w:color w:val="000000"/>
                <w:sz w:val="19"/>
                <w:szCs w:val="19"/>
              </w:rPr>
            </w:r>
          </w:p>
        </w:tc>
        <w:tc>
          <w:tcPr/>
          <w:p>
            <w:pPr>
              <w:pStyle w:val="Compact"/>
              <w:spacing w:before="40" w:after="40" w:line="240" w:lineRule="auto"/>
            </w:pPr>
            <w:r>
              <w:t xml:space="preserve">Raw Water Dams &amp; Storage Reservoirs</w:t>
              <w:rPr>
                <w:rFonts w:ascii="Times New Roman" w:hAnsi="Times New Roman" w:eastAsia="Times New Roman" w:cs="Times New Roman"/>
                <w:color w:val="000000"/>
                <w:sz w:val="19"/>
                <w:szCs w:val="19"/>
              </w:rPr>
            </w:r>
          </w:p>
        </w:tc>
        <w:tc>
          <w:tcPr/>
          <w:p>
            <w:pPr>
              <w:pStyle w:val="Compact"/>
              <w:spacing w:before="40" w:after="40" w:line="240" w:lineRule="auto"/>
            </w:pPr>
            <w:r>
              <w:t xml:space="preserve">Point/Poly</w:t>
              <w:rPr>
                <w:rFonts w:ascii="Times New Roman" w:hAnsi="Times New Roman" w:eastAsia="Times New Roman" w:cs="Times New Roman"/>
                <w:color w:val="000000"/>
                <w:sz w:val="19"/>
                <w:szCs w:val="19"/>
              </w:rPr>
            </w:r>
          </w:p>
        </w:tc>
        <w:tc>
          <w:tcPr/>
          <w:p>
            <w:pPr>
              <w:pStyle w:val="Compact"/>
              <w:spacing w:before="40" w:after="40" w:line="240" w:lineRule="auto"/>
            </w:pPr>
            <w:r>
              <w:t xml:space="preserve">8 Major Dams (Tahtalı, Balçova etc.)</w:t>
              <w:rPr>
                <w:rFonts w:ascii="Times New Roman" w:hAnsi="Times New Roman" w:eastAsia="Times New Roman" w:cs="Times New Roman"/>
                <w:color w:val="000000"/>
                <w:sz w:val="19"/>
                <w:szCs w:val="19"/>
              </w:rPr>
            </w:r>
          </w:p>
        </w:tc>
        <w:tc>
          <w:tcPr/>
          <w:p>
            <w:pPr>
              <w:pStyle w:val="Compact"/>
              <w:spacing w:before="40" w:after="40" w:line="240" w:lineRule="auto"/>
            </w:pPr>
            <w:r>
              <w:t xml:space="preserve">DSİ 2nd Region</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Water Conveyance</w:t>
              <w:rPr>
                <w:rFonts w:ascii="Times New Roman" w:hAnsi="Times New Roman" w:eastAsia="Times New Roman" w:cs="Times New Roman"/>
                <w:color w:val="000000"/>
                <w:sz w:val="19"/>
                <w:szCs w:val="19"/>
              </w:rPr>
            </w:r>
          </w:p>
        </w:tc>
        <w:tc>
          <w:tcPr/>
          <w:p>
            <w:pPr>
              <w:pStyle w:val="Compact"/>
              <w:spacing w:before="40" w:after="40" w:line="240" w:lineRule="auto"/>
            </w:pPr>
            <w:r>
              <w:t xml:space="preserve">Bulk Steel Trunk Water Mains</w:t>
              <w:rPr>
                <w:rFonts w:ascii="Times New Roman" w:hAnsi="Times New Roman" w:eastAsia="Times New Roman" w:cs="Times New Roman"/>
                <w:color w:val="000000"/>
                <w:sz w:val="19"/>
                <w:szCs w:val="19"/>
              </w:rPr>
            </w:r>
          </w:p>
        </w:tc>
        <w:tc>
          <w:tcPr/>
          <w:p>
            <w:pPr>
              <w:pStyle w:val="Compact"/>
              <w:spacing w:before="40" w:after="40" w:line="240" w:lineRule="auto"/>
            </w:pPr>
            <w:r>
              <w:t xml:space="preserve">Line</w:t>
              <w:rPr>
                <w:rFonts w:ascii="Times New Roman" w:hAnsi="Times New Roman" w:eastAsia="Times New Roman" w:cs="Times New Roman"/>
                <w:color w:val="000000"/>
                <w:sz w:val="19"/>
                <w:szCs w:val="19"/>
              </w:rPr>
            </w:r>
          </w:p>
        </w:tc>
        <w:tc>
          <w:tcPr/>
          <w:p>
            <w:pPr>
              <w:pStyle w:val="Compact"/>
              <w:spacing w:before="40" w:after="40" w:line="240" w:lineRule="auto"/>
            </w:pPr>
            <w:r>
              <w:t xml:space="preserve">29,464 Segments (1,450 km)</w:t>
              <w:rPr>
                <w:rFonts w:ascii="Times New Roman" w:hAnsi="Times New Roman" w:eastAsia="Times New Roman" w:cs="Times New Roman"/>
                <w:color w:val="000000"/>
                <w:sz w:val="19"/>
                <w:szCs w:val="19"/>
              </w:rPr>
            </w:r>
          </w:p>
        </w:tc>
        <w:tc>
          <w:tcPr/>
          <w:p>
            <w:pPr>
              <w:pStyle w:val="Compact"/>
              <w:spacing w:before="40" w:after="40" w:line="240" w:lineRule="auto"/>
            </w:pPr>
            <w:r>
              <w:t xml:space="preserve">İZSU</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Flood Defense</w:t>
              <w:rPr>
                <w:rFonts w:ascii="Times New Roman" w:hAnsi="Times New Roman" w:eastAsia="Times New Roman" w:cs="Times New Roman"/>
                <w:color w:val="000000"/>
                <w:sz w:val="19"/>
                <w:szCs w:val="19"/>
              </w:rPr>
            </w:r>
          </w:p>
        </w:tc>
        <w:tc>
          <w:tcPr/>
          <w:p>
            <w:pPr>
              <w:pStyle w:val="Compact"/>
              <w:spacing w:before="40" w:after="40" w:line="240" w:lineRule="auto"/>
            </w:pPr>
            <w:r>
              <w:t xml:space="preserve">Constructed Stream Channel Training Works</w:t>
              <w:rPr>
                <w:rFonts w:ascii="Times New Roman" w:hAnsi="Times New Roman" w:eastAsia="Times New Roman" w:cs="Times New Roman"/>
                <w:color w:val="000000"/>
                <w:sz w:val="19"/>
                <w:szCs w:val="19"/>
              </w:rPr>
            </w:r>
          </w:p>
        </w:tc>
        <w:tc>
          <w:tcPr/>
          <w:p>
            <w:pPr>
              <w:pStyle w:val="Compact"/>
              <w:spacing w:before="40" w:after="40" w:line="240" w:lineRule="auto"/>
            </w:pPr>
            <w:r>
              <w:t xml:space="preserve">Line</w:t>
              <w:rPr>
                <w:rFonts w:ascii="Times New Roman" w:hAnsi="Times New Roman" w:eastAsia="Times New Roman" w:cs="Times New Roman"/>
                <w:color w:val="000000"/>
                <w:sz w:val="19"/>
                <w:szCs w:val="19"/>
              </w:rPr>
            </w:r>
          </w:p>
        </w:tc>
        <w:tc>
          <w:tcPr/>
          <w:p>
            <w:pPr>
              <w:pStyle w:val="Compact"/>
              <w:spacing w:before="40" w:after="40" w:line="240" w:lineRule="auto"/>
            </w:pPr>
            <w:r>
              <w:t xml:space="preserve">1,001 Flood Defense Structures</w:t>
              <w:rPr>
                <w:rFonts w:ascii="Times New Roman" w:hAnsi="Times New Roman" w:eastAsia="Times New Roman" w:cs="Times New Roman"/>
                <w:color w:val="000000"/>
                <w:sz w:val="19"/>
                <w:szCs w:val="19"/>
              </w:rPr>
            </w:r>
          </w:p>
        </w:tc>
        <w:tc>
          <w:tcPr/>
          <w:p>
            <w:pPr>
              <w:pStyle w:val="Compact"/>
              <w:spacing w:before="40" w:after="40" w:line="240" w:lineRule="auto"/>
            </w:pPr>
            <w:r>
              <w:t xml:space="preserve">DSİ 2nd Region</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Flood Early Warning</w:t>
              <w:rPr>
                <w:rFonts w:ascii="Times New Roman" w:hAnsi="Times New Roman" w:eastAsia="Times New Roman" w:cs="Times New Roman"/>
                <w:color w:val="000000"/>
                <w:sz w:val="19"/>
                <w:szCs w:val="19"/>
              </w:rPr>
            </w:r>
          </w:p>
        </w:tc>
        <w:tc>
          <w:tcPr/>
          <w:p>
            <w:pPr>
              <w:pStyle w:val="Compact"/>
              <w:spacing w:before="40" w:after="40" w:line="240" w:lineRule="auto"/>
            </w:pPr>
            <w:r>
              <w:t xml:space="preserve">Stream Gauging (AGİ) &amp; Radar Early Warning (TEUS)</w:t>
              <w:rPr>
                <w:rFonts w:ascii="Times New Roman" w:hAnsi="Times New Roman" w:eastAsia="Times New Roman" w:cs="Times New Roman"/>
                <w:color w:val="000000"/>
                <w:sz w:val="19"/>
                <w:szCs w:val="19"/>
              </w:rPr>
            </w:r>
          </w:p>
        </w:tc>
        <w:tc>
          <w:tcPr/>
          <w:p>
            <w:pPr>
              <w:pStyle w:val="Compact"/>
              <w:spacing w:before="40" w:after="40" w:line="240" w:lineRule="auto"/>
            </w:pPr>
            <w:r>
              <w:t xml:space="preserve">Point</w:t>
              <w:rPr>
                <w:rFonts w:ascii="Times New Roman" w:hAnsi="Times New Roman" w:eastAsia="Times New Roman" w:cs="Times New Roman"/>
                <w:color w:val="000000"/>
                <w:sz w:val="19"/>
                <w:szCs w:val="19"/>
              </w:rPr>
            </w:r>
          </w:p>
        </w:tc>
        <w:tc>
          <w:tcPr/>
          <w:p>
            <w:pPr>
              <w:pStyle w:val="Compact"/>
              <w:spacing w:before="40" w:after="40" w:line="240" w:lineRule="auto"/>
            </w:pPr>
            <w:r>
              <w:t xml:space="preserve">22 AGİ + 3 TEUS Stations</w:t>
              <w:rPr>
                <w:rFonts w:ascii="Times New Roman" w:hAnsi="Times New Roman" w:eastAsia="Times New Roman" w:cs="Times New Roman"/>
                <w:color w:val="000000"/>
                <w:sz w:val="19"/>
                <w:szCs w:val="19"/>
              </w:rPr>
            </w:r>
          </w:p>
        </w:tc>
        <w:tc>
          <w:tcPr/>
          <w:p>
            <w:pPr>
              <w:pStyle w:val="Compact"/>
              <w:spacing w:before="40" w:after="40" w:line="240" w:lineRule="auto"/>
            </w:pPr>
            <w:r>
              <w:t xml:space="preserve">DSİ General Dir.</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r>
              <w:rPr>
                <w:b/>
                <w:bCs/>
                <w:rFonts w:ascii="Times New Roman" w:hAnsi="Times New Roman" w:eastAsia="Times New Roman" w:cs="Times New Roman"/>
                <w:color w:val="000000"/>
                <w:sz w:val="19"/>
                <w:szCs w:val="19"/>
              </w:rPr>
              <w:t xml:space="preserve">6. Healthcare</w:t>
            </w:r>
          </w:p>
        </w:tc>
        <w:tc>
          <w:tcPr/>
          <w:p>
            <w:pPr>
              <w:pStyle w:val="Compact"/>
              <w:spacing w:before="40" w:after="40" w:line="240" w:lineRule="auto"/>
            </w:pPr>
            <w:r>
              <w:t xml:space="preserve">Inpatient Hospitals</w:t>
              <w:rPr>
                <w:rFonts w:ascii="Times New Roman" w:hAnsi="Times New Roman" w:eastAsia="Times New Roman" w:cs="Times New Roman"/>
                <w:color w:val="000000"/>
                <w:sz w:val="19"/>
                <w:szCs w:val="19"/>
              </w:rPr>
            </w:r>
          </w:p>
        </w:tc>
        <w:tc>
          <w:tcPr/>
          <w:p>
            <w:pPr>
              <w:pStyle w:val="Compact"/>
              <w:spacing w:before="40" w:after="40" w:line="240" w:lineRule="auto"/>
            </w:pPr>
            <w:r>
              <w:t xml:space="preserve">City, University, State &amp; Private Hospitals</w:t>
              <w:rPr>
                <w:rFonts w:ascii="Times New Roman" w:hAnsi="Times New Roman" w:eastAsia="Times New Roman" w:cs="Times New Roman"/>
                <w:color w:val="000000"/>
                <w:sz w:val="19"/>
                <w:szCs w:val="19"/>
              </w:rPr>
            </w:r>
          </w:p>
        </w:tc>
        <w:tc>
          <w:tcPr/>
          <w:p>
            <w:pPr>
              <w:pStyle w:val="Compact"/>
              <w:spacing w:before="40" w:after="40" w:line="240" w:lineRule="auto"/>
            </w:pPr>
            <w:r>
              <w:t xml:space="preserve">Point</w:t>
              <w:rPr>
                <w:rFonts w:ascii="Times New Roman" w:hAnsi="Times New Roman" w:eastAsia="Times New Roman" w:cs="Times New Roman"/>
                <w:color w:val="000000"/>
                <w:sz w:val="19"/>
                <w:szCs w:val="19"/>
              </w:rPr>
            </w:r>
          </w:p>
        </w:tc>
        <w:tc>
          <w:tcPr/>
          <w:p>
            <w:pPr>
              <w:pStyle w:val="Compact"/>
              <w:spacing w:before="40" w:after="40" w:line="240" w:lineRule="auto"/>
            </w:pPr>
            <w:r>
              <w:t xml:space="preserve">66 Hospitals (Audited Coordinates)</w:t>
              <w:rPr>
                <w:rFonts w:ascii="Times New Roman" w:hAnsi="Times New Roman" w:eastAsia="Times New Roman" w:cs="Times New Roman"/>
                <w:color w:val="000000"/>
                <w:sz w:val="19"/>
                <w:szCs w:val="19"/>
              </w:rPr>
            </w:r>
          </w:p>
        </w:tc>
        <w:tc>
          <w:tcPr/>
          <w:p>
            <w:pPr>
              <w:pStyle w:val="Compact"/>
              <w:spacing w:before="40" w:after="40" w:line="240" w:lineRule="auto"/>
            </w:pPr>
            <w:r>
              <w:t xml:space="preserve">MoH / AFAD</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Emergency Medical</w:t>
              <w:rPr>
                <w:rFonts w:ascii="Times New Roman" w:hAnsi="Times New Roman" w:eastAsia="Times New Roman" w:cs="Times New Roman"/>
                <w:color w:val="000000"/>
                <w:sz w:val="19"/>
                <w:szCs w:val="19"/>
              </w:rPr>
            </w:r>
          </w:p>
        </w:tc>
        <w:tc>
          <w:tcPr/>
          <w:p>
            <w:pPr>
              <w:pStyle w:val="Compact"/>
              <w:spacing w:before="40" w:after="40" w:line="240" w:lineRule="auto"/>
            </w:pPr>
            <w:r>
              <w:t xml:space="preserve">112 Emergency Medical Service Stations</w:t>
              <w:rPr>
                <w:rFonts w:ascii="Times New Roman" w:hAnsi="Times New Roman" w:eastAsia="Times New Roman" w:cs="Times New Roman"/>
                <w:color w:val="000000"/>
                <w:sz w:val="19"/>
                <w:szCs w:val="19"/>
              </w:rPr>
            </w:r>
          </w:p>
        </w:tc>
        <w:tc>
          <w:tcPr/>
          <w:p>
            <w:pPr>
              <w:pStyle w:val="Compact"/>
              <w:spacing w:before="40" w:after="40" w:line="240" w:lineRule="auto"/>
            </w:pPr>
            <w:r>
              <w:t xml:space="preserve">Point</w:t>
              <w:rPr>
                <w:rFonts w:ascii="Times New Roman" w:hAnsi="Times New Roman" w:eastAsia="Times New Roman" w:cs="Times New Roman"/>
                <w:color w:val="000000"/>
                <w:sz w:val="19"/>
                <w:szCs w:val="19"/>
              </w:rPr>
            </w:r>
          </w:p>
        </w:tc>
        <w:tc>
          <w:tcPr/>
          <w:p>
            <w:pPr>
              <w:pStyle w:val="Compact"/>
              <w:spacing w:before="40" w:after="40" w:line="240" w:lineRule="auto"/>
            </w:pPr>
            <w:r>
              <w:t xml:space="preserve">129 Outpost Stations</w:t>
              <w:rPr>
                <w:rFonts w:ascii="Times New Roman" w:hAnsi="Times New Roman" w:eastAsia="Times New Roman" w:cs="Times New Roman"/>
                <w:color w:val="000000"/>
                <w:sz w:val="19"/>
                <w:szCs w:val="19"/>
              </w:rPr>
            </w:r>
          </w:p>
        </w:tc>
        <w:tc>
          <w:tcPr/>
          <w:p>
            <w:pPr>
              <w:pStyle w:val="Compact"/>
              <w:spacing w:before="40" w:after="40" w:line="240" w:lineRule="auto"/>
            </w:pPr>
            <w:r>
              <w:t xml:space="preserve">MoH / AFAD</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Primary Care</w:t>
              <w:rPr>
                <w:rFonts w:ascii="Times New Roman" w:hAnsi="Times New Roman" w:eastAsia="Times New Roman" w:cs="Times New Roman"/>
                <w:color w:val="000000"/>
                <w:sz w:val="19"/>
                <w:szCs w:val="19"/>
              </w:rPr>
            </w:r>
          </w:p>
        </w:tc>
        <w:tc>
          <w:tcPr/>
          <w:p>
            <w:pPr>
              <w:pStyle w:val="Compact"/>
              <w:spacing w:before="40" w:after="40" w:line="240" w:lineRule="auto"/>
            </w:pPr>
            <w:r>
              <w:t xml:space="preserve">Family Health Centers (ASM) &amp; TSM</w:t>
              <w:rPr>
                <w:rFonts w:ascii="Times New Roman" w:hAnsi="Times New Roman" w:eastAsia="Times New Roman" w:cs="Times New Roman"/>
                <w:color w:val="000000"/>
                <w:sz w:val="19"/>
                <w:szCs w:val="19"/>
              </w:rPr>
            </w:r>
          </w:p>
        </w:tc>
        <w:tc>
          <w:tcPr/>
          <w:p>
            <w:pPr>
              <w:pStyle w:val="Compact"/>
              <w:spacing w:before="40" w:after="40" w:line="240" w:lineRule="auto"/>
            </w:pPr>
            <w:r>
              <w:t xml:space="preserve">Point</w:t>
              <w:rPr>
                <w:rFonts w:ascii="Times New Roman" w:hAnsi="Times New Roman" w:eastAsia="Times New Roman" w:cs="Times New Roman"/>
                <w:color w:val="000000"/>
                <w:sz w:val="19"/>
                <w:szCs w:val="19"/>
              </w:rPr>
            </w:r>
          </w:p>
        </w:tc>
        <w:tc>
          <w:tcPr/>
          <w:p>
            <w:pPr>
              <w:pStyle w:val="Compact"/>
              <w:spacing w:before="40" w:after="40" w:line="240" w:lineRule="auto"/>
            </w:pPr>
            <w:r>
              <w:t xml:space="preserve">497 Primary Health Facilities</w:t>
              <w:rPr>
                <w:rFonts w:ascii="Times New Roman" w:hAnsi="Times New Roman" w:eastAsia="Times New Roman" w:cs="Times New Roman"/>
                <w:color w:val="000000"/>
                <w:sz w:val="19"/>
                <w:szCs w:val="19"/>
              </w:rPr>
            </w:r>
          </w:p>
        </w:tc>
        <w:tc>
          <w:tcPr/>
          <w:p>
            <w:pPr>
              <w:pStyle w:val="Compact"/>
              <w:spacing w:before="40" w:after="40" w:line="240" w:lineRule="auto"/>
            </w:pPr>
            <w:r>
              <w:t xml:space="preserve">MoH / AFAD</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r>
              <w:rPr>
                <w:b/>
                <w:bCs/>
                <w:rFonts w:ascii="Times New Roman" w:hAnsi="Times New Roman" w:eastAsia="Times New Roman" w:cs="Times New Roman"/>
                <w:color w:val="000000"/>
                <w:sz w:val="19"/>
                <w:szCs w:val="19"/>
              </w:rPr>
              <w:t xml:space="preserve">7. Emergency Mgmt</w:t>
            </w:r>
          </w:p>
        </w:tc>
        <w:tc>
          <w:tcPr/>
          <w:p>
            <w:pPr>
              <w:pStyle w:val="Compact"/>
              <w:spacing w:before="40" w:after="40" w:line="240" w:lineRule="auto"/>
            </w:pPr>
            <w:r>
              <w:t xml:space="preserve">Crisis Command</w:t>
              <w:rPr>
                <w:rFonts w:ascii="Times New Roman" w:hAnsi="Times New Roman" w:eastAsia="Times New Roman" w:cs="Times New Roman"/>
                <w:color w:val="000000"/>
                <w:sz w:val="19"/>
                <w:szCs w:val="19"/>
              </w:rPr>
            </w:r>
          </w:p>
        </w:tc>
        <w:tc>
          <w:tcPr/>
          <w:p>
            <w:pPr>
              <w:pStyle w:val="Compact"/>
              <w:spacing w:before="40" w:after="40" w:line="240" w:lineRule="auto"/>
            </w:pPr>
            <w:r>
              <w:t xml:space="preserve">Disaster Coordination Centers (AADYM/GAMER/AKOM)</w:t>
              <w:rPr>
                <w:rFonts w:ascii="Times New Roman" w:hAnsi="Times New Roman" w:eastAsia="Times New Roman" w:cs="Times New Roman"/>
                <w:color w:val="000000"/>
                <w:sz w:val="19"/>
                <w:szCs w:val="19"/>
              </w:rPr>
            </w:r>
          </w:p>
        </w:tc>
        <w:tc>
          <w:tcPr/>
          <w:p>
            <w:pPr>
              <w:pStyle w:val="Compact"/>
              <w:spacing w:before="40" w:after="40" w:line="240" w:lineRule="auto"/>
            </w:pPr>
            <w:r>
              <w:t xml:space="preserve">Point</w:t>
              <w:rPr>
                <w:rFonts w:ascii="Times New Roman" w:hAnsi="Times New Roman" w:eastAsia="Times New Roman" w:cs="Times New Roman"/>
                <w:color w:val="000000"/>
                <w:sz w:val="19"/>
                <w:szCs w:val="19"/>
              </w:rPr>
            </w:r>
          </w:p>
        </w:tc>
        <w:tc>
          <w:tcPr/>
          <w:p>
            <w:pPr>
              <w:pStyle w:val="Compact"/>
              <w:spacing w:before="40" w:after="40" w:line="240" w:lineRule="auto"/>
            </w:pPr>
            <w:r>
              <w:t xml:space="preserve">13 Command &amp; Control Hubs</w:t>
              <w:rPr>
                <w:rFonts w:ascii="Times New Roman" w:hAnsi="Times New Roman" w:eastAsia="Times New Roman" w:cs="Times New Roman"/>
                <w:color w:val="000000"/>
                <w:sz w:val="19"/>
                <w:szCs w:val="19"/>
              </w:rPr>
            </w:r>
          </w:p>
        </w:tc>
        <w:tc>
          <w:tcPr/>
          <w:p>
            <w:pPr>
              <w:pStyle w:val="Compact"/>
              <w:spacing w:before="40" w:after="40" w:line="240" w:lineRule="auto"/>
            </w:pPr>
            <w:r>
              <w:t xml:space="preserve">AFAD / Governorship</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Fire &amp; Rescue</w:t>
              <w:rPr>
                <w:rFonts w:ascii="Times New Roman" w:hAnsi="Times New Roman" w:eastAsia="Times New Roman" w:cs="Times New Roman"/>
                <w:color w:val="000000"/>
                <w:sz w:val="19"/>
                <w:szCs w:val="19"/>
              </w:rPr>
            </w:r>
          </w:p>
        </w:tc>
        <w:tc>
          <w:tcPr/>
          <w:p>
            <w:pPr>
              <w:pStyle w:val="Compact"/>
              <w:spacing w:before="40" w:after="40" w:line="240" w:lineRule="auto"/>
            </w:pPr>
            <w:r>
              <w:t xml:space="preserve">Municipal Fire Department Headstations</w:t>
              <w:rPr>
                <w:rFonts w:ascii="Times New Roman" w:hAnsi="Times New Roman" w:eastAsia="Times New Roman" w:cs="Times New Roman"/>
                <w:color w:val="000000"/>
                <w:sz w:val="19"/>
                <w:szCs w:val="19"/>
              </w:rPr>
            </w:r>
          </w:p>
        </w:tc>
        <w:tc>
          <w:tcPr/>
          <w:p>
            <w:pPr>
              <w:pStyle w:val="Compact"/>
              <w:spacing w:before="40" w:after="40" w:line="240" w:lineRule="auto"/>
            </w:pPr>
            <w:r>
              <w:t xml:space="preserve">Point</w:t>
              <w:rPr>
                <w:rFonts w:ascii="Times New Roman" w:hAnsi="Times New Roman" w:eastAsia="Times New Roman" w:cs="Times New Roman"/>
                <w:color w:val="000000"/>
                <w:sz w:val="19"/>
                <w:szCs w:val="19"/>
              </w:rPr>
            </w:r>
          </w:p>
        </w:tc>
        <w:tc>
          <w:tcPr/>
          <w:p>
            <w:pPr>
              <w:pStyle w:val="Compact"/>
              <w:spacing w:before="40" w:after="40" w:line="240" w:lineRule="auto"/>
            </w:pPr>
            <w:r>
              <w:t xml:space="preserve">11 Major Fire Battalion Stations</w:t>
              <w:rPr>
                <w:rFonts w:ascii="Times New Roman" w:hAnsi="Times New Roman" w:eastAsia="Times New Roman" w:cs="Times New Roman"/>
                <w:color w:val="000000"/>
                <w:sz w:val="19"/>
                <w:szCs w:val="19"/>
              </w:rPr>
            </w:r>
          </w:p>
        </w:tc>
        <w:tc>
          <w:tcPr/>
          <w:p>
            <w:pPr>
              <w:pStyle w:val="Compact"/>
              <w:spacing w:before="40" w:after="40" w:line="240" w:lineRule="auto"/>
            </w:pPr>
            <w:r>
              <w:t xml:space="preserve">İBB Fire Dept.</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Assembly / Shelter</w:t>
              <w:rPr>
                <w:rFonts w:ascii="Times New Roman" w:hAnsi="Times New Roman" w:eastAsia="Times New Roman" w:cs="Times New Roman"/>
                <w:color w:val="000000"/>
                <w:sz w:val="19"/>
                <w:szCs w:val="19"/>
              </w:rPr>
            </w:r>
          </w:p>
        </w:tc>
        <w:tc>
          <w:tcPr/>
          <w:p>
            <w:pPr>
              <w:pStyle w:val="Compact"/>
              <w:spacing w:before="40" w:after="40" w:line="240" w:lineRule="auto"/>
            </w:pPr>
            <w:r>
              <w:t xml:space="preserve">Designated Emergency Assembly Areas</w:t>
              <w:rPr>
                <w:rFonts w:ascii="Times New Roman" w:hAnsi="Times New Roman" w:eastAsia="Times New Roman" w:cs="Times New Roman"/>
                <w:color w:val="000000"/>
                <w:sz w:val="19"/>
                <w:szCs w:val="19"/>
              </w:rPr>
            </w:r>
          </w:p>
        </w:tc>
        <w:tc>
          <w:tcPr/>
          <w:p>
            <w:pPr>
              <w:pStyle w:val="Compact"/>
              <w:spacing w:before="40" w:after="40" w:line="240" w:lineRule="auto"/>
            </w:pPr>
            <w:r>
              <w:t xml:space="preserve">Point/Poly</w:t>
              <w:rPr>
                <w:rFonts w:ascii="Times New Roman" w:hAnsi="Times New Roman" w:eastAsia="Times New Roman" w:cs="Times New Roman"/>
                <w:color w:val="000000"/>
                <w:sz w:val="19"/>
                <w:szCs w:val="19"/>
              </w:rPr>
            </w:r>
          </w:p>
        </w:tc>
        <w:tc>
          <w:tcPr/>
          <w:p>
            <w:pPr>
              <w:pStyle w:val="Compact"/>
              <w:spacing w:before="40" w:after="40" w:line="240" w:lineRule="auto"/>
            </w:pPr>
            <w:r>
              <w:t xml:space="preserve">2,428 Gazetted Assembly Sites</w:t>
              <w:rPr>
                <w:rFonts w:ascii="Times New Roman" w:hAnsi="Times New Roman" w:eastAsia="Times New Roman" w:cs="Times New Roman"/>
                <w:color w:val="000000"/>
                <w:sz w:val="19"/>
                <w:szCs w:val="19"/>
              </w:rPr>
            </w:r>
          </w:p>
        </w:tc>
        <w:tc>
          <w:tcPr/>
          <w:p>
            <w:pPr>
              <w:pStyle w:val="Compact"/>
              <w:spacing w:before="40" w:after="40" w:line="240" w:lineRule="auto"/>
            </w:pPr>
            <w:r>
              <w:t xml:space="preserve">AFAD / İBB</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r>
              <w:rPr>
                <w:b/>
                <w:bCs/>
                <w:rFonts w:ascii="Times New Roman" w:hAnsi="Times New Roman" w:eastAsia="Times New Roman" w:cs="Times New Roman"/>
                <w:color w:val="000000"/>
                <w:sz w:val="19"/>
                <w:szCs w:val="19"/>
              </w:rPr>
              <w:t xml:space="preserve">8. Critical Industry</w:t>
            </w:r>
          </w:p>
        </w:tc>
        <w:tc>
          <w:tcPr/>
          <w:p>
            <w:pPr>
              <w:pStyle w:val="Compact"/>
              <w:spacing w:before="40" w:after="40" w:line="240" w:lineRule="auto"/>
            </w:pPr>
            <w:r>
              <w:t xml:space="preserve">SEVESO / NaTech</w:t>
              <w:rPr>
                <w:rFonts w:ascii="Times New Roman" w:hAnsi="Times New Roman" w:eastAsia="Times New Roman" w:cs="Times New Roman"/>
                <w:color w:val="000000"/>
                <w:sz w:val="19"/>
                <w:szCs w:val="19"/>
              </w:rPr>
            </w:r>
          </w:p>
        </w:tc>
        <w:tc>
          <w:tcPr/>
          <w:p>
            <w:pPr>
              <w:pStyle w:val="Compact"/>
              <w:spacing w:before="40" w:after="40" w:line="240" w:lineRule="auto"/>
            </w:pPr>
            <w:r>
              <w:t xml:space="preserve">Refineries, Petrochemical &amp; LNG Terminals</w:t>
              <w:rPr>
                <w:rFonts w:ascii="Times New Roman" w:hAnsi="Times New Roman" w:eastAsia="Times New Roman" w:cs="Times New Roman"/>
                <w:color w:val="000000"/>
                <w:sz w:val="19"/>
                <w:szCs w:val="19"/>
              </w:rPr>
            </w:r>
          </w:p>
        </w:tc>
        <w:tc>
          <w:tcPr/>
          <w:p>
            <w:pPr>
              <w:pStyle w:val="Compact"/>
              <w:spacing w:before="40" w:after="40" w:line="240" w:lineRule="auto"/>
            </w:pPr>
            <w:r>
              <w:t xml:space="preserve">Point/Poly</w:t>
              <w:rPr>
                <w:rFonts w:ascii="Times New Roman" w:hAnsi="Times New Roman" w:eastAsia="Times New Roman" w:cs="Times New Roman"/>
                <w:color w:val="000000"/>
                <w:sz w:val="19"/>
                <w:szCs w:val="19"/>
              </w:rPr>
            </w:r>
          </w:p>
        </w:tc>
        <w:tc>
          <w:tcPr/>
          <w:p>
            <w:pPr>
              <w:pStyle w:val="Compact"/>
              <w:spacing w:before="40" w:after="40" w:line="240" w:lineRule="auto"/>
            </w:pPr>
            <w:r>
              <w:t xml:space="preserve">8 Top-Tier SEVESO Facilities</w:t>
              <w:rPr>
                <w:rFonts w:ascii="Times New Roman" w:hAnsi="Times New Roman" w:eastAsia="Times New Roman" w:cs="Times New Roman"/>
                <w:color w:val="000000"/>
                <w:sz w:val="19"/>
                <w:szCs w:val="19"/>
              </w:rPr>
            </w:r>
          </w:p>
        </w:tc>
        <w:tc>
          <w:tcPr/>
          <w:p>
            <w:pPr>
              <w:pStyle w:val="Compact"/>
              <w:spacing w:before="40" w:after="40" w:line="240" w:lineRule="auto"/>
            </w:pPr>
            <w:r>
              <w:t xml:space="preserve">MoEUCC / AYDES</w:t>
              <w:rPr>
                <w:rFonts w:ascii="Times New Roman" w:hAnsi="Times New Roman" w:eastAsia="Times New Roman" w:cs="Times New Roman"/>
                <w:color w:val="000000"/>
                <w:sz w:val="19"/>
                <w:szCs w:val="19"/>
              </w:rPr>
            </w:r>
          </w:p>
        </w:tc>
        <w:trPr>
          <w:cantSplit/>
        </w:trPr>
      </w:tr>
      <w:tr>
        <w:tc>
          <w:tcPr>
            <w:tcBorders>
              <w:bottom w:val="single" w:sz="8" w:space="0" w:color="000000"/>
            </w:tcBorders>
          </w:tcPr>
          <w:p>
            <w:pPr>
              <w:pStyle w:val="Compact"/>
              <w:spacing w:before="40" w:after="40" w:line="240" w:lineRule="auto"/>
            </w:pPr>
            <w:r>
              <w:rPr>
                <w:b/>
                <w:bCs/>
                <w:rFonts w:ascii="Times New Roman" w:hAnsi="Times New Roman" w:eastAsia="Times New Roman" w:cs="Times New Roman"/>
                <w:color w:val="000000"/>
                <w:sz w:val="19"/>
                <w:szCs w:val="19"/>
              </w:rPr>
              <w:t xml:space="preserve">9. Food Supply</w:t>
            </w:r>
          </w:p>
        </w:tc>
        <w:tc>
          <w:tcPr>
            <w:tcBorders>
              <w:bottom w:val="single" w:sz="8" w:space="0" w:color="000000"/>
            </w:tcBorders>
          </w:tcPr>
          <w:p>
            <w:pPr>
              <w:pStyle w:val="Compact"/>
              <w:spacing w:before="40" w:after="40" w:line="240" w:lineRule="auto"/>
            </w:pPr>
            <w:r>
              <w:t xml:space="preserve">Food Logistics</w:t>
              <w:rPr>
                <w:rFonts w:ascii="Times New Roman" w:hAnsi="Times New Roman" w:eastAsia="Times New Roman" w:cs="Times New Roman"/>
                <w:color w:val="000000"/>
                <w:sz w:val="19"/>
                <w:szCs w:val="19"/>
              </w:rPr>
            </w:r>
          </w:p>
        </w:tc>
        <w:tc>
          <w:tcPr>
            <w:tcBorders>
              <w:bottom w:val="single" w:sz="8" w:space="0" w:color="000000"/>
            </w:tcBorders>
          </w:tcPr>
          <w:p>
            <w:pPr>
              <w:pStyle w:val="Compact"/>
              <w:spacing w:before="40" w:after="40" w:line="240" w:lineRule="auto"/>
            </w:pPr>
            <w:r>
              <w:t xml:space="preserve">Metropolitan Wholesale Markets &amp; Cold Chain</w:t>
              <w:rPr>
                <w:rFonts w:ascii="Times New Roman" w:hAnsi="Times New Roman" w:eastAsia="Times New Roman" w:cs="Times New Roman"/>
                <w:color w:val="000000"/>
                <w:sz w:val="19"/>
                <w:szCs w:val="19"/>
              </w:rPr>
            </w:r>
          </w:p>
        </w:tc>
        <w:tc>
          <w:tcPr>
            <w:tcBorders>
              <w:bottom w:val="single" w:sz="8" w:space="0" w:color="000000"/>
            </w:tcBorders>
          </w:tcPr>
          <w:p>
            <w:pPr>
              <w:pStyle w:val="Compact"/>
              <w:spacing w:before="40" w:after="40" w:line="240" w:lineRule="auto"/>
            </w:pPr>
            <w:r>
              <w:t xml:space="preserve">Point</w:t>
              <w:rPr>
                <w:rFonts w:ascii="Times New Roman" w:hAnsi="Times New Roman" w:eastAsia="Times New Roman" w:cs="Times New Roman"/>
                <w:color w:val="000000"/>
                <w:sz w:val="19"/>
                <w:szCs w:val="19"/>
              </w:rPr>
            </w:r>
          </w:p>
        </w:tc>
        <w:tc>
          <w:tcPr>
            <w:tcBorders>
              <w:bottom w:val="single" w:sz="8" w:space="0" w:color="000000"/>
            </w:tcBorders>
          </w:tcPr>
          <w:p>
            <w:pPr>
              <w:pStyle w:val="Compact"/>
              <w:spacing w:before="40" w:after="40" w:line="240" w:lineRule="auto"/>
            </w:pPr>
            <w:r>
              <w:t xml:space="preserve">5 Regional Wholesale Markets</w:t>
              <w:rPr>
                <w:rFonts w:ascii="Times New Roman" w:hAnsi="Times New Roman" w:eastAsia="Times New Roman" w:cs="Times New Roman"/>
                <w:color w:val="000000"/>
                <w:sz w:val="19"/>
                <w:szCs w:val="19"/>
              </w:rPr>
            </w:r>
          </w:p>
        </w:tc>
        <w:tc>
          <w:tcPr>
            <w:tcBorders>
              <w:bottom w:val="single" w:sz="8" w:space="0" w:color="000000"/>
            </w:tcBorders>
          </w:tcPr>
          <w:p>
            <w:pPr>
              <w:pStyle w:val="Compact"/>
              <w:spacing w:before="40" w:after="40" w:line="240" w:lineRule="auto"/>
            </w:pPr>
            <w:r>
              <w:t xml:space="preserve">Prov. Directorate</w:t>
              <w:rPr>
                <w:rFonts w:ascii="Times New Roman" w:hAnsi="Times New Roman" w:eastAsia="Times New Roman" w:cs="Times New Roman"/>
                <w:color w:val="000000"/>
                <w:sz w:val="19"/>
                <w:szCs w:val="19"/>
              </w:rPr>
            </w:r>
          </w:p>
        </w:tc>
        <w:trPr>
          <w:cantSplit/>
        </w:trPr>
      </w:tr>
    </w:tbl>
    <w:bookmarkEnd w:id="13"/>
    <w:bookmarkStart w:id="14" w:name="X2a92b872e359343b755acfb9ae6c986baffd2d9"/>
    <w:p>
      <w:pPr>
        <w:pStyle w:val="Heading2"/>
      </w:pPr>
      <w:r>
        <w:t xml:space="preserve">2.2. The Eight Multi-Hazard Analysis Dimensions</w:t>
        <w:rPr>
          <w:rFonts w:ascii="Times New Roman" w:hAnsi="Times New Roman" w:eastAsia="Times New Roman" w:cs="Times New Roman"/>
          <w:color w:val="000000"/>
        </w:rPr>
      </w:r>
    </w:p>
    <w:p>
      <w:pPr>
        <w:pStyle w:val="FirstParagraph"/>
        <w:spacing w:before="0" w:after="100" w:line="360" w:lineRule="auto"/>
        <w:jc w:val="both"/>
      </w:pPr>
      <w:r>
        <w:t xml:space="preserve">Each critical asset profile is systematically screened across 8 analytical layers: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1.</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Hazard Exposure:</w:t>
      </w:r>
      <w:r>
        <w:t xml:space="preserve"> </w:t>
        <w:rPr>
          <w:rFonts w:ascii="Times New Roman" w:hAnsi="Times New Roman" w:eastAsia="Times New Roman" w:cs="Times New Roman"/>
          <w:color w:val="000000"/>
          <w:sz w:val="23"/>
          <w:szCs w:val="23"/>
        </w:rPr>
      </w:r>
      <w:r>
        <w:t xml:space="preserve">Seismic peak ground acceleration (PGA 475-year return period), proximity to active faults (500m / 2km buffer zones), peak flood discharge (Q100/Q500), and slope instability susceptibility.</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2.</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Physical Exposure:</w:t>
      </w:r>
      <w:r>
        <w:t xml:space="preserve"> </w:t>
        <w:rPr>
          <w:rFonts w:ascii="Times New Roman" w:hAnsi="Times New Roman" w:eastAsia="Times New Roman" w:cs="Times New Roman"/>
          <w:color w:val="000000"/>
          <w:sz w:val="23"/>
          <w:szCs w:val="23"/>
        </w:rPr>
      </w:r>
      <w:r>
        <w:t xml:space="preserve">Catchment population served, service hinterland area, and strategic daily throughput.</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3.</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Physical Structural Vulnerability:</w:t>
      </w:r>
      <w:r>
        <w:t xml:space="preserve"> </w:t>
        <w:rPr>
          <w:rFonts w:ascii="Times New Roman" w:hAnsi="Times New Roman" w:eastAsia="Times New Roman" w:cs="Times New Roman"/>
          <w:color w:val="000000"/>
          <w:sz w:val="23"/>
          <w:szCs w:val="23"/>
        </w:rPr>
      </w:r>
      <w:r>
        <w:t xml:space="preserve">Structural typology (RC, steel, masonry), construction vintage (pre-1999 vs. post-2000), seismic soil amplification (Vs30), and resonance vulnerability.</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4.</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Functional Disruption:</w:t>
      </w:r>
      <w:r>
        <w:t xml:space="preserve"> </w:t>
        <w:rPr>
          <w:rFonts w:ascii="Times New Roman" w:hAnsi="Times New Roman" w:eastAsia="Times New Roman" w:cs="Times New Roman"/>
          <w:color w:val="000000"/>
          <w:sz w:val="23"/>
          <w:szCs w:val="23"/>
        </w:rPr>
      </w:r>
      <w:r>
        <w:t xml:space="preserve">Potential loss of operational capacity, inpatient bed diversion, emergency dispatch latency, or bulk utility blackout.</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5.</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Systemic Criticality:</w:t>
      </w:r>
      <w:r>
        <w:t xml:space="preserve"> </w:t>
        <w:rPr>
          <w:rFonts w:ascii="Times New Roman" w:hAnsi="Times New Roman" w:eastAsia="Times New Roman" w:cs="Times New Roman"/>
          <w:color w:val="000000"/>
          <w:sz w:val="23"/>
          <w:szCs w:val="23"/>
        </w:rPr>
      </w:r>
      <w:r>
        <w:t xml:space="preserve">Network centrality, degree of redundancy, and identification as a Single Point of Failure (SPoF).</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6.</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Cascading Dependencies:</w:t>
      </w:r>
      <w:r>
        <w:t xml:space="preserve"> </w:t>
        <w:rPr>
          <w:rFonts w:ascii="Times New Roman" w:hAnsi="Times New Roman" w:eastAsia="Times New Roman" w:cs="Times New Roman"/>
          <w:color w:val="000000"/>
          <w:sz w:val="23"/>
          <w:szCs w:val="23"/>
        </w:rPr>
      </w:r>
      <w:r>
        <w:t xml:space="preserve">Inter-system coupling—e.g., electrical outage triggering municipal water pump shutdowns or arterial bridge collapse isolating trauma hospitals.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7.</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Restoration &amp; Continuity:</w:t>
      </w:r>
      <w:r>
        <w:t xml:space="preserve"> </w:t>
        <w:rPr>
          <w:rFonts w:ascii="Times New Roman" w:hAnsi="Times New Roman" w:eastAsia="Times New Roman" w:cs="Times New Roman"/>
          <w:color w:val="000000"/>
          <w:sz w:val="23"/>
          <w:szCs w:val="23"/>
        </w:rPr>
      </w:r>
      <w:r>
        <w:t xml:space="preserve">Estimated Mean Time to Recovery (MTTR), availability of mobile backup generation, and formal business continuity planning.</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8.</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NaTech Potential:</w:t>
      </w:r>
      <w:r>
        <w:t xml:space="preserve"> </w:t>
        <w:rPr>
          <w:rFonts w:ascii="Times New Roman" w:hAnsi="Times New Roman" w:eastAsia="Times New Roman" w:cs="Times New Roman"/>
          <w:color w:val="000000"/>
          <w:sz w:val="23"/>
          <w:szCs w:val="23"/>
        </w:rPr>
      </w:r>
      <w:r>
        <w:t xml:space="preserve">Susceptibility of industrial and hazardous installations to trigger secondary fires, chemical spills, BLEVE, or toxic atmospheric plumes during natural hazards.</w:t>
        <w:rPr>
          <w:rFonts w:ascii="Times New Roman" w:hAnsi="Times New Roman" w:eastAsia="Times New Roman" w:cs="Times New Roman"/>
          <w:color w:val="000000"/>
          <w:sz w:val="23"/>
          <w:szCs w:val="23"/>
        </w:rPr>
      </w:r>
    </w:p>
    <w:p>
      <w:r>
        <w:pict>
          <ns5:rect style="width:0;height:1.5pt" ns6:hralign="center" ns6:hrstd="t" ns6:hr="t"/>
        </w:pict>
        <w:rPr>
          <w:rFonts w:ascii="Times New Roman" w:hAnsi="Times New Roman" w:eastAsia="Times New Roman" w:cs="Times New Roman"/>
          <w:color w:val="000000"/>
          <w:sz w:val="23"/>
          <w:szCs w:val="23"/>
        </w:rPr>
      </w:r>
      <w:pPr>
        <w:spacing w:before="0" w:after="100" w:line="360" w:lineRule="auto"/>
        <w:jc w:val="both"/>
      </w:pPr>
    </w:p>
    <w:bookmarkEnd w:id="14"/>
    <w:bookmarkEnd w:id="15"/>
    <w:bookmarkStart w:id="23" w:name="X0cd3f79346bbb779170f4e5cc8d222a9d12bf1c"/>
    <w:p>
      <w:pPr>
        <w:pStyle w:val="Heading1"/>
      </w:pPr>
      <w:r>
        <w:t xml:space="preserve">SECTION 3: SYSTEMATIC SCREENING OF RAW DATASETS AND GIS PROCESSING RESULTS</w:t>
        <w:rPr>
          <w:rFonts w:ascii="Times New Roman" w:hAnsi="Times New Roman" w:eastAsia="Times New Roman" w:cs="Times New Roman"/>
          <w:color w:val="000000"/>
        </w:rPr>
      </w:r>
    </w:p>
    <w:bookmarkStart w:id="16" w:name="Xac85313af6cb360f02254e6e7504cd6aec37523"/>
    <w:p>
      <w:pPr>
        <w:pStyle w:val="Heading2"/>
      </w:pPr>
      <w:r>
        <w:t xml:space="preserve">3.1. Healthcare Infrastructure (66 Hospitals, 129 Emergency Stations, 497 Family Clinics)</w:t>
        <w:rPr>
          <w:rFonts w:ascii="Times New Roman" w:hAnsi="Times New Roman" w:eastAsia="Times New Roman" w:cs="Times New Roman"/>
          <w:color w:val="000000"/>
        </w:rPr>
      </w:r>
    </w:p>
    <w:p>
      <w:pPr>
        <w:pStyle w:val="FirstParagraph"/>
        <w:spacing w:before="0" w:after="100" w:line="360" w:lineRule="auto"/>
        <w:jc w:val="both"/>
      </w:pPr>
      <w:r>
        <w:t xml:space="preserve">The healthcare asset layer provides an audited spatial inventory of post-disaster trauma care and local medical surge capacity:</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Inpatient Hospitals (66 Assets):</w:t>
      </w:r>
      <w:r>
        <w:t xml:space="preserve"> </w:t>
        <w:rPr>
          <w:rFonts w:ascii="Times New Roman" w:hAnsi="Times New Roman" w:eastAsia="Times New Roman" w:cs="Times New Roman"/>
          <w:color w:val="000000"/>
          <w:sz w:val="23"/>
          <w:szCs w:val="23"/>
        </w:rPr>
      </w:r>
      <w:r>
        <w:t xml:space="preserve">Full geocoding and attribute validation for major facilities, including the flagship İzmir City Hospital (Bayraklı - 2,060 beds), Ege University Medical Faculty (Bornova - 1,800 beds), Dokuz Eylül University Hospital (İnciraltı - 1,100 beds), Tepecik TRH, Bozyaka TRH, Atatürk TRH, and specialized private facilities.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112 Emergency Outposts (129 Assets):</w:t>
      </w:r>
      <w:r>
        <w:t xml:space="preserve"> </w:t>
        <w:rPr>
          <w:rFonts w:ascii="Times New Roman" w:hAnsi="Times New Roman" w:eastAsia="Times New Roman" w:cs="Times New Roman"/>
          <w:color w:val="000000"/>
          <w:sz w:val="23"/>
          <w:szCs w:val="23"/>
        </w:rPr>
      </w:r>
      <w:r>
        <w:t xml:space="preserve">Complete coverage across all 30 districts, establishing ambulance dispatch nodes for travel-time isochrone simulations.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Primary Healthcare Centers (497 ASMs):</w:t>
      </w:r>
      <w:r>
        <w:t xml:space="preserve"> </w:t>
        <w:rPr>
          <w:rFonts w:ascii="Times New Roman" w:hAnsi="Times New Roman" w:eastAsia="Times New Roman" w:cs="Times New Roman"/>
          <w:color w:val="000000"/>
          <w:sz w:val="23"/>
          <w:szCs w:val="23"/>
        </w:rPr>
      </w:r>
      <w:r>
        <w:t xml:space="preserve">Neighbourhood-level dispensaries mapped for localized first-aid capacity.</w:t>
        <w:rPr>
          <w:rFonts w:ascii="Times New Roman" w:hAnsi="Times New Roman" w:eastAsia="Times New Roman" w:cs="Times New Roman"/>
          <w:color w:val="000000"/>
          <w:sz w:val="23"/>
          <w:szCs w:val="23"/>
        </w:rPr>
      </w:r>
    </w:p>
    <w:bookmarkEnd w:id="16"/>
    <w:bookmarkStart w:id="17" w:name="X1098219ec8461640ae7058d1ff4390f3334eff3"/>
    <w:p>
      <w:pPr>
        <w:pStyle w:val="Heading2"/>
      </w:pPr>
      <w:r>
        <w:t xml:space="preserve">3.2. Energy and Fuel Networks (109 Substations, 128 Power Lines, 28 Gas Trunklines)</w:t>
        <w:rPr>
          <w:rFonts w:ascii="Times New Roman" w:hAnsi="Times New Roman" w:eastAsia="Times New Roman" w:cs="Times New Roman"/>
          <w:color w:val="000000"/>
        </w:rPr>
      </w:r>
    </w:p>
    <w:p>
      <w:pPr>
        <w:pStyle w:val="FirstParagraph"/>
        <w:spacing w:before="0" w:after="100" w:line="360" w:lineRule="auto"/>
        <w:jc w:val="both"/>
      </w:pPr>
      <w:r>
        <w:t xml:space="preserve">The lifeline energy backbone has been mapped into topological vector layers: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TEİAŞ Power Substations:</w:t>
      </w:r>
      <w:r>
        <w:t xml:space="preserve"> </w:t>
        <w:rPr>
          <w:rFonts w:ascii="Times New Roman" w:hAnsi="Times New Roman" w:eastAsia="Times New Roman" w:cs="Times New Roman"/>
          <w:color w:val="000000"/>
          <w:sz w:val="23"/>
          <w:szCs w:val="23"/>
        </w:rPr>
      </w:r>
      <w:r>
        <w:t xml:space="preserve">109 high-voltage 154 kV and 380 kV transformation stations (e.g., Aliağa, Bornova, Işıklar, Salihler, Uzundere) mapped as primary network hubs.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High-Voltage Transmission Lines:</w:t>
      </w:r>
      <w:r>
        <w:t xml:space="preserve"> </w:t>
        <w:rPr>
          <w:rFonts w:ascii="Times New Roman" w:hAnsi="Times New Roman" w:eastAsia="Times New Roman" w:cs="Times New Roman"/>
          <w:color w:val="000000"/>
          <w:sz w:val="23"/>
          <w:szCs w:val="23"/>
        </w:rPr>
      </w:r>
      <w:r>
        <w:t xml:space="preserve">128 overhead lines converted to standardized GeoJSON polylines.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BOTAŞ High-Pressure Gas Lines:</w:t>
      </w:r>
      <w:r>
        <w:t xml:space="preserve"> </w:t>
        <w:rPr>
          <w:rFonts w:ascii="Times New Roman" w:hAnsi="Times New Roman" w:eastAsia="Times New Roman" w:cs="Times New Roman"/>
          <w:color w:val="000000"/>
          <w:sz w:val="23"/>
          <w:szCs w:val="23"/>
        </w:rPr>
      </w:r>
      <w:r>
        <w:t xml:space="preserve">28 high-pressure steel trunk gas pipelines, connecting the Aliağa LNG terminal and industrial corridors in Menemen, Bornova, Kemalpaşa, and Torbalı.</w:t>
        <w:rPr>
          <w:rFonts w:ascii="Times New Roman" w:hAnsi="Times New Roman" w:eastAsia="Times New Roman" w:cs="Times New Roman"/>
          <w:color w:val="000000"/>
          <w:sz w:val="23"/>
          <w:szCs w:val="23"/>
        </w:rPr>
      </w:r>
    </w:p>
    <w:bookmarkEnd w:id="17"/>
    <w:bookmarkStart w:id="18" w:name="X559101caf23949bf1eee3103deb834d3db433b9"/>
    <w:p>
      <w:pPr>
        <w:pStyle w:val="Heading2"/>
      </w:pPr>
      <w:r>
        <w:t xml:space="preserve">3.3. Transportation Corridors and Engineering Lifelines (115 Interchanges, 6 Tunnels, 983 Bridges, 4 Airports, 6 Seaports)</w:t>
        <w:rPr>
          <w:rFonts w:ascii="Times New Roman" w:hAnsi="Times New Roman" w:eastAsia="Times New Roman" w:cs="Times New Roman"/>
          <w:color w:val="000000"/>
        </w:rPr>
      </w:r>
    </w:p>
    <w:p>
      <w:pPr>
        <w:pStyle w:val="FirstParagraph"/>
        <w:spacing w:before="0" w:after="100" w:line="360" w:lineRule="auto"/>
        <w:jc w:val="both"/>
      </w:pPr>
      <w:r>
        <w:t xml:space="preserve">Critical bottleneck points on regional evacuation routes have been cataloged:</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KGM Grade-Separated Interchanges:</w:t>
      </w:r>
      <w:r>
        <w:t xml:space="preserve"> </w:t>
        <w:rPr>
          <w:rFonts w:ascii="Times New Roman" w:hAnsi="Times New Roman" w:eastAsia="Times New Roman" w:cs="Times New Roman"/>
          <w:color w:val="000000"/>
          <w:sz w:val="23"/>
          <w:szCs w:val="23"/>
        </w:rPr>
      </w:r>
      <w:r>
        <w:t xml:space="preserve">115 major interchanges on the O-30 Ring Road, O-31 İzmir-Aydın Motorway, and O-5 İzmir-İstanbul Motorway.</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Strategic Road Tunnels:</w:t>
      </w:r>
      <w:r>
        <w:t xml:space="preserve"> </w:t>
        <w:rPr>
          <w:rFonts w:ascii="Times New Roman" w:hAnsi="Times New Roman" w:eastAsia="Times New Roman" w:cs="Times New Roman"/>
          <w:color w:val="000000"/>
          <w:sz w:val="23"/>
          <w:szCs w:val="23"/>
        </w:rPr>
      </w:r>
      <w:r>
        <w:t xml:space="preserve">The 75. Yıl Selatin Tunnel (3,043 m), Bayraklı-1 Tunnel (1,876 m), Bayraklı-2 Tunnel (320 m), Belkahve Tunnel (1,600 m), Buruncuk Tunnel (1,050 m), and Konak Urban Tunnel (1,674 m), evaluated as primary SPoF corridor assets.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Airports and Seaports:</w:t>
      </w:r>
      <w:r>
        <w:t xml:space="preserve"> </w:t>
        <w:rPr>
          <w:rFonts w:ascii="Times New Roman" w:hAnsi="Times New Roman" w:eastAsia="Times New Roman" w:cs="Times New Roman"/>
          <w:color w:val="000000"/>
          <w:sz w:val="23"/>
          <w:szCs w:val="23"/>
        </w:rPr>
      </w:r>
      <w:r>
        <w:t xml:space="preserve">Adnan Menderes International Airport (ADB), Çiğli Military Jet Base, Kaklıç and Selçuk Efes airfields, along with Alsancak Port, Aliağa Nemrut industrial marine terminals, and Çeşme International Ferry Port, established as external relief nodes.</w:t>
        <w:rPr>
          <w:rFonts w:ascii="Times New Roman" w:hAnsi="Times New Roman" w:eastAsia="Times New Roman" w:cs="Times New Roman"/>
          <w:color w:val="000000"/>
          <w:sz w:val="23"/>
          <w:szCs w:val="23"/>
        </w:rPr>
      </w:r>
    </w:p>
    <w:bookmarkEnd w:id="18"/>
    <w:bookmarkStart w:id="19" w:name="Xf0b01fa7be419e4c69e7d42f2999cb638888a1a"/>
    <w:p>
      <w:pPr>
        <w:pStyle w:val="Heading2"/>
      </w:pPr>
      <w:r>
        <w:t xml:space="preserve">3.4. Water Systems, Dams, and Flood Defenses (8 Dams, 1,001 DSİ Works, 25 Gauging Stations)</w:t>
        <w:rPr>
          <w:rFonts w:ascii="Times New Roman" w:hAnsi="Times New Roman" w:eastAsia="Times New Roman" w:cs="Times New Roman"/>
          <w:color w:val="000000"/>
        </w:rPr>
      </w:r>
    </w:p>
    <w:p>
      <w:pPr>
        <w:pStyle w:val="FirstParagraph"/>
        <w:spacing w:before="0" w:after="100" w:line="360" w:lineRule="auto"/>
        <w:jc w:val="both"/>
      </w:pPr>
      <w:r>
        <w:t xml:space="preserve">Municipal bulk water supply and flood mitigation lifelines have been integrated:</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Bulk Raw Water Dams:</w:t>
      </w:r>
      <w:r>
        <w:t xml:space="preserve"> </w:t>
        <w:rPr>
          <w:rFonts w:ascii="Times New Roman" w:hAnsi="Times New Roman" w:eastAsia="Times New Roman" w:cs="Times New Roman"/>
          <w:color w:val="000000"/>
          <w:sz w:val="23"/>
          <w:szCs w:val="23"/>
        </w:rPr>
      </w:r>
      <w:r>
        <w:t xml:space="preserve">Tahtalı Dam (providing &gt;40% of metropolitan drinking water; 287 million m³ capacity), Balçova, Ürkmez, Seferihisar, Alaçatı Kutlu Aktaş, and Güzelhisar dams.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DSİ Stream Channel Training Works:</w:t>
      </w:r>
      <w:r>
        <w:t xml:space="preserve"> </w:t>
        <w:rPr>
          <w:rFonts w:ascii="Times New Roman" w:hAnsi="Times New Roman" w:eastAsia="Times New Roman" w:cs="Times New Roman"/>
          <w:color w:val="000000"/>
          <w:sz w:val="23"/>
          <w:szCs w:val="23"/>
        </w:rPr>
      </w:r>
      <w:r>
        <w:t xml:space="preserve">1,001 completed flood defense structures and 425 planned projects from DSİ 2nd Regional Directorate mapped as vector polylines.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Early Warning Stream Gauges:</w:t>
      </w:r>
      <w:r>
        <w:t xml:space="preserve"> </w:t>
        <w:rPr>
          <w:rFonts w:ascii="Times New Roman" w:hAnsi="Times New Roman" w:eastAsia="Times New Roman" w:cs="Times New Roman"/>
          <w:color w:val="000000"/>
          <w:sz w:val="23"/>
          <w:szCs w:val="23"/>
        </w:rPr>
      </w:r>
      <w:r>
        <w:t xml:space="preserve">22 Automated Stream Gauging Stations (AGİ) and 3 Radar Flood Early Warning Stations (TEUS).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İZSU Bulk Water Trunk Mains:</w:t>
      </w:r>
      <w:r>
        <w:t xml:space="preserve"> </w:t>
        <w:rPr>
          <w:rFonts w:ascii="Times New Roman" w:hAnsi="Times New Roman" w:eastAsia="Times New Roman" w:cs="Times New Roman"/>
          <w:color w:val="000000"/>
          <w:sz w:val="23"/>
          <w:szCs w:val="23"/>
        </w:rPr>
      </w:r>
      <w:r>
        <w:t xml:space="preserve">29,464 pipeline segments totaling 1,450 km of high-capacity steel mains.</w:t>
        <w:rPr>
          <w:rFonts w:ascii="Times New Roman" w:hAnsi="Times New Roman" w:eastAsia="Times New Roman" w:cs="Times New Roman"/>
          <w:color w:val="000000"/>
          <w:sz w:val="23"/>
          <w:szCs w:val="23"/>
        </w:rPr>
      </w:r>
    </w:p>
    <w:bookmarkEnd w:id="19"/>
    <w:bookmarkStart w:id="20" w:name="X178732141e08fc4c270e5b8519cede9bfaf68e1"/>
    <w:p>
      <w:pPr>
        <w:pStyle w:val="Heading2"/>
      </w:pPr>
      <w:r>
        <w:t xml:space="preserve">3.5. 2020 Samos–İzmir Earthquake Building Damage Registry (215,603 Assessed Buildings, 1,710 Severe/Moderate Damage Points)</w:t>
        <w:rPr>
          <w:rFonts w:ascii="Times New Roman" w:hAnsi="Times New Roman" w:eastAsia="Times New Roman" w:cs="Times New Roman"/>
          <w:color w:val="000000"/>
        </w:rPr>
      </w:r>
    </w:p>
    <w:p>
      <w:pPr>
        <w:pStyle w:val="FirstParagraph"/>
        <w:spacing w:before="0" w:after="100" w:line="360" w:lineRule="auto"/>
        <w:jc w:val="both"/>
      </w:pPr>
      <w:r>
        <w:t xml:space="preserve">The empirical post-disaster damage registry serves as a vital real-world ground-truthing anchor: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Total Evaluated Buildings:</w:t>
      </w:r>
      <w:r>
        <w:t xml:space="preserve"> </w:t>
        <w:rPr>
          <w:rFonts w:ascii="Times New Roman" w:hAnsi="Times New Roman" w:eastAsia="Times New Roman" w:cs="Times New Roman"/>
          <w:color w:val="000000"/>
          <w:sz w:val="23"/>
          <w:szCs w:val="23"/>
        </w:rPr>
      </w:r>
      <w:r>
        <w:t xml:space="preserve">215,603 unique structures.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Damage Classification Tally:</w:t>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Collapsed (Yıkık):</w:t>
      </w:r>
      <w:r>
        <w:t xml:space="preserve"> </w:t>
        <w:rPr>
          <w:rFonts w:ascii="Times New Roman" w:hAnsi="Times New Roman" w:eastAsia="Times New Roman" w:cs="Times New Roman"/>
          <w:color w:val="000000"/>
          <w:sz w:val="23"/>
          <w:szCs w:val="23"/>
        </w:rPr>
      </w:r>
      <w:r>
        <w:t xml:space="preserve">177 buildings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Urgent Demolition (Acil Yıktırılacak):</w:t>
      </w:r>
      <w:r>
        <w:t xml:space="preserve"> </w:t>
        <w:rPr>
          <w:rFonts w:ascii="Times New Roman" w:hAnsi="Times New Roman" w:eastAsia="Times New Roman" w:cs="Times New Roman"/>
          <w:color w:val="000000"/>
          <w:sz w:val="23"/>
          <w:szCs w:val="23"/>
        </w:rPr>
      </w:r>
      <w:r>
        <w:t xml:space="preserve">4 buildings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Heavy Damage (Ağır Hasarlı):</w:t>
      </w:r>
      <w:r>
        <w:t xml:space="preserve"> </w:t>
        <w:rPr>
          <w:rFonts w:ascii="Times New Roman" w:hAnsi="Times New Roman" w:eastAsia="Times New Roman" w:cs="Times New Roman"/>
          <w:color w:val="000000"/>
          <w:sz w:val="23"/>
          <w:szCs w:val="23"/>
        </w:rPr>
      </w:r>
      <w:r>
        <w:t xml:space="preserve">967 buildings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Moderate Damage (Orta Hasarlı):</w:t>
      </w:r>
      <w:r>
        <w:t xml:space="preserve"> </w:t>
        <w:rPr>
          <w:rFonts w:ascii="Times New Roman" w:hAnsi="Times New Roman" w:eastAsia="Times New Roman" w:cs="Times New Roman"/>
          <w:color w:val="000000"/>
          <w:sz w:val="23"/>
          <w:szCs w:val="23"/>
        </w:rPr>
      </w:r>
      <w:r>
        <w:t xml:space="preserve">567 buildings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Slight Damage (Az Hasarlı):</w:t>
      </w:r>
      <w:r>
        <w:t xml:space="preserve"> </w:t>
        <w:rPr>
          <w:rFonts w:ascii="Times New Roman" w:hAnsi="Times New Roman" w:eastAsia="Times New Roman" w:cs="Times New Roman"/>
          <w:color w:val="000000"/>
          <w:sz w:val="23"/>
          <w:szCs w:val="23"/>
        </w:rPr>
      </w:r>
      <w:r>
        <w:t xml:space="preserve">7,141 buildings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No Damage (Hasarsız):</w:t>
      </w:r>
      <w:r>
        <w:t xml:space="preserve"> </w:t>
        <w:rPr>
          <w:rFonts w:ascii="Times New Roman" w:hAnsi="Times New Roman" w:eastAsia="Times New Roman" w:cs="Times New Roman"/>
          <w:color w:val="000000"/>
          <w:sz w:val="23"/>
          <w:szCs w:val="23"/>
        </w:rPr>
      </w:r>
      <w:r>
        <w:t xml:space="preserve">170,628 buildings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Inaccessible / Unassessed:</w:t>
      </w:r>
      <w:r>
        <w:t xml:space="preserve"> </w:t>
        <w:rPr>
          <w:rFonts w:ascii="Times New Roman" w:hAnsi="Times New Roman" w:eastAsia="Times New Roman" w:cs="Times New Roman"/>
          <w:color w:val="000000"/>
          <w:sz w:val="23"/>
          <w:szCs w:val="23"/>
        </w:rPr>
      </w:r>
      <w:r>
        <w:t xml:space="preserve">28,700 structures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Spatial Damage Hotspots:</w:t>
      </w:r>
      <w:r>
        <w:t xml:space="preserve"> </w:t>
        <w:rPr>
          <w:rFonts w:ascii="Times New Roman" w:hAnsi="Times New Roman" w:eastAsia="Times New Roman" w:cs="Times New Roman"/>
          <w:color w:val="000000"/>
          <w:sz w:val="23"/>
          <w:szCs w:val="23"/>
        </w:rPr>
      </w:r>
      <w:r>
        <w:t xml:space="preserve">1,710 collapsed, urgent, heavy, and moderate damage coordinates have been integrated into GIS, pinpointing acute clusters in Bayraklı (Mansuroğlu, Manavkuyu, Adalet), Bornova, and Seferihisar.</w:t>
        <w:rPr>
          <w:rFonts w:ascii="Times New Roman" w:hAnsi="Times New Roman" w:eastAsia="Times New Roman" w:cs="Times New Roman"/>
          <w:color w:val="000000"/>
          <w:sz w:val="23"/>
          <w:szCs w:val="23"/>
        </w:rPr>
      </w:r>
    </w:p>
    <w:bookmarkEnd w:id="20"/>
    <w:bookmarkStart w:id="21" w:name="X30b94f51f9d5f27a86c5df512648335b16f8fe3"/>
    <w:p>
      <w:pPr>
        <w:pStyle w:val="Heading2"/>
      </w:pPr>
      <w:r>
        <w:t xml:space="preserve">3.6. MTA 2026 Official Active Fault Map (1,102 Fault Segments)</w:t>
        <w:rPr>
          <w:rFonts w:ascii="Times New Roman" w:hAnsi="Times New Roman" w:eastAsia="Times New Roman" w:cs="Times New Roman"/>
          <w:color w:val="000000"/>
        </w:rPr>
      </w:r>
    </w:p>
    <w:p>
      <w:pPr>
        <w:pStyle w:val="FirstParagraph"/>
        <w:spacing w:before="0" w:after="100" w:line="360" w:lineRule="auto"/>
        <w:jc w:val="both"/>
      </w:pPr>
      <w:r>
        <w:t xml:space="preserve">The 2026 update of the General Directorate of Mineral Research and Exploration (MTA) Active Fault Map of Türkiye (TDFH 2026) has been converted to project CRS: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İzmir Fault:</w:t>
      </w:r>
      <w:r>
        <w:t xml:space="preserve"> </w:t>
        <w:rPr>
          <w:rFonts w:ascii="Times New Roman" w:hAnsi="Times New Roman" w:eastAsia="Times New Roman" w:cs="Times New Roman"/>
          <w:color w:val="000000"/>
          <w:sz w:val="23"/>
          <w:szCs w:val="23"/>
        </w:rPr>
      </w:r>
      <w:r>
        <w:t xml:space="preserve">Southern border fault of the Bornova-Konak-Balçova graben (Holocene active).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Tuzla Fault:</w:t>
      </w:r>
      <w:r>
        <w:t xml:space="preserve"> </w:t>
        <w:rPr>
          <w:rFonts w:ascii="Times New Roman" w:hAnsi="Times New Roman" w:eastAsia="Times New Roman" w:cs="Times New Roman"/>
          <w:color w:val="000000"/>
          <w:sz w:val="23"/>
          <w:szCs w:val="23"/>
        </w:rPr>
      </w:r>
      <w:r>
        <w:t xml:space="preserve">Right-lateral strike-slip system extending from Doğanbey north toward Gaziemir and Bornova.</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Gülbahçe and Seferihisar Fault Zones:</w:t>
      </w:r>
      <w:r>
        <w:t xml:space="preserve"> </w:t>
        <w:rPr>
          <w:rFonts w:ascii="Times New Roman" w:hAnsi="Times New Roman" w:eastAsia="Times New Roman" w:cs="Times New Roman"/>
          <w:color w:val="000000"/>
          <w:sz w:val="23"/>
          <w:szCs w:val="23"/>
        </w:rPr>
      </w:r>
      <w:r>
        <w:t xml:space="preserve">Western strike-slip structures crossing the Karaburun Peninsula.</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Gediz and Büyük Menderes Graben Boundaries:</w:t>
      </w:r>
      <w:r>
        <w:t xml:space="preserve"> </w:t>
        <w:rPr>
          <w:rFonts w:ascii="Times New Roman" w:hAnsi="Times New Roman" w:eastAsia="Times New Roman" w:cs="Times New Roman"/>
          <w:color w:val="000000"/>
          <w:sz w:val="23"/>
          <w:szCs w:val="23"/>
        </w:rPr>
      </w:r>
      <w:r>
        <w:t xml:space="preserve">Regional normal faults in Menemen, Kemalpaşa, and southern sectors.</w:t>
        <w:rPr>
          <w:rFonts w:ascii="Times New Roman" w:hAnsi="Times New Roman" w:eastAsia="Times New Roman" w:cs="Times New Roman"/>
          <w:color w:val="000000"/>
          <w:sz w:val="23"/>
          <w:szCs w:val="23"/>
        </w:rPr>
      </w:r>
    </w:p>
    <w:bookmarkEnd w:id="21"/>
    <w:bookmarkStart w:id="22" w:name="Xe114eb7f764b862931e05cbc2baf84b111e7508"/>
    <w:p>
      <w:pPr>
        <w:pStyle w:val="Heading2"/>
      </w:pPr>
      <w:r>
        <w:t xml:space="preserve">3.7. Fire Incidents and Emergency Response Registry (4,721 AYDES / Fire Service Events)</w:t>
        <w:rPr>
          <w:rFonts w:ascii="Times New Roman" w:hAnsi="Times New Roman" w:eastAsia="Times New Roman" w:cs="Times New Roman"/>
          <w:color w:val="000000"/>
        </w:rPr>
      </w:r>
    </w:p>
    <w:p>
      <w:pPr>
        <w:pStyle w:val="FirstParagraph"/>
        <w:spacing w:before="0" w:after="100" w:line="360" w:lineRule="auto"/>
        <w:jc w:val="both"/>
      </w:pPr>
      <w:r>
        <w:t xml:space="preserve">A total of 4,721 historical fire and emergency rescue incidents recorded by the İzmir Fire Department were processed and spatially joined to administrative boundaries: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Wildland and Vegetation Fires:</w:t>
      </w:r>
      <w:r>
        <w:t xml:space="preserve"> </w:t>
        <w:rPr>
          <w:rFonts w:ascii="Times New Roman" w:hAnsi="Times New Roman" w:eastAsia="Times New Roman" w:cs="Times New Roman"/>
          <w:color w:val="000000"/>
          <w:sz w:val="23"/>
          <w:szCs w:val="23"/>
        </w:rPr>
      </w:r>
      <w:r>
        <w:t xml:space="preserve">1,362 incidents (brush, pasture, stubble).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Structural and Residential Fires:</w:t>
      </w:r>
      <w:r>
        <w:t xml:space="preserve"> </w:t>
        <w:rPr>
          <w:rFonts w:ascii="Times New Roman" w:hAnsi="Times New Roman" w:eastAsia="Times New Roman" w:cs="Times New Roman"/>
          <w:color w:val="000000"/>
          <w:sz w:val="23"/>
          <w:szCs w:val="23"/>
        </w:rPr>
      </w:r>
      <w:r>
        <w:t xml:space="preserve">707 building fires.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Vehicle Fires &amp; Road Accidents:</w:t>
      </w:r>
      <w:r>
        <w:t xml:space="preserve"> </w:t>
        <w:rPr>
          <w:rFonts w:ascii="Times New Roman" w:hAnsi="Times New Roman" w:eastAsia="Times New Roman" w:cs="Times New Roman"/>
          <w:color w:val="000000"/>
          <w:sz w:val="23"/>
          <w:szCs w:val="23"/>
        </w:rPr>
      </w:r>
      <w:r>
        <w:t xml:space="preserve">379 incidents.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Industrial Accidents &amp; Chemical Fires:</w:t>
      </w:r>
      <w:r>
        <w:t xml:space="preserve"> </w:t>
        <w:rPr>
          <w:rFonts w:ascii="Times New Roman" w:hAnsi="Times New Roman" w:eastAsia="Times New Roman" w:cs="Times New Roman"/>
          <w:color w:val="000000"/>
          <w:sz w:val="23"/>
          <w:szCs w:val="23"/>
        </w:rPr>
      </w:r>
      <w:r>
        <w:t xml:space="preserve">31 high-hazard events.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District Concentrations:</w:t>
      </w:r>
      <w:r>
        <w:t xml:space="preserve"> </w:t>
        <w:rPr>
          <w:rFonts w:ascii="Times New Roman" w:hAnsi="Times New Roman" w:eastAsia="Times New Roman" w:cs="Times New Roman"/>
          <w:color w:val="000000"/>
          <w:sz w:val="23"/>
          <w:szCs w:val="23"/>
        </w:rPr>
      </w:r>
      <w:r>
        <w:t xml:space="preserve">Konak (412), Bornova (391), Menemen (386), Torbalı (362), Buca (351), and Karabağlar (290) exhibit highest historical incident frequencies.</w:t>
        <w:rPr>
          <w:rFonts w:ascii="Times New Roman" w:hAnsi="Times New Roman" w:eastAsia="Times New Roman" w:cs="Times New Roman"/>
          <w:color w:val="000000"/>
          <w:sz w:val="23"/>
          <w:szCs w:val="23"/>
        </w:rPr>
      </w:r>
    </w:p>
    <w:p>
      <w:r>
        <w:pict>
          <ns5:rect style="width:0;height:1.5pt" ns6:hralign="center" ns6:hrstd="t" ns6:hr="t"/>
        </w:pict>
        <w:rPr>
          <w:rFonts w:ascii="Times New Roman" w:hAnsi="Times New Roman" w:eastAsia="Times New Roman" w:cs="Times New Roman"/>
          <w:color w:val="000000"/>
          <w:sz w:val="23"/>
          <w:szCs w:val="23"/>
        </w:rPr>
      </w:r>
      <w:pPr>
        <w:spacing w:before="0" w:after="100" w:line="360" w:lineRule="auto"/>
        <w:jc w:val="both"/>
      </w:pPr>
    </w:p>
    <w:bookmarkEnd w:id="22"/>
    <w:bookmarkEnd w:id="23"/>
    <w:bookmarkStart w:id="24" w:name="Xaeb0bc70de0e0bfd0666ebafedd5eb0eaea6485"/>
    <w:p>
      <w:pPr>
        <w:pStyle w:val="Heading1"/>
      </w:pPr>
      <w:r>
        <w:t xml:space="preserve">SECTION 4: UPDATED DATA MATURITY AND DEFICIT MATRIX (DATA-1)</w:t>
        <w:rPr>
          <w:rFonts w:ascii="Times New Roman" w:hAnsi="Times New Roman" w:eastAsia="Times New Roman" w:cs="Times New Roman"/>
          <w:color w:val="000000"/>
        </w:rPr>
      </w:r>
    </w:p>
    <w:p>
      <w:pPr>
        <w:pStyle w:val="FirstParagraph"/>
        <w:spacing w:before="0" w:after="100" w:line="360" w:lineRule="auto"/>
        <w:jc w:val="both"/>
      </w:pPr>
      <w:r>
        <w:t xml:space="preserve">With this institutional intake, foundational data gaps identified at project inception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03_data/data_inventory.md</w:t>
      </w:r>
      <w:r>
        <w:t xml:space="preserve">) have been systematically closed:</w:t>
        <w:rPr>
          <w:rFonts w:ascii="Times New Roman" w:hAnsi="Times New Roman" w:eastAsia="Times New Roman" w:cs="Times New Roman"/>
          <w:color w:val="000000"/>
          <w:sz w:val="23"/>
          <w:szCs w:val="23"/>
        </w:rPr>
      </w:r>
    </w:p>
    <w:p>
      <w:pPr>
        <w:pStyle w:val="BodyText"/>
        <w:spacing w:before="0" w:after="100" w:line="360" w:lineRule="auto"/>
        <w:jc w:val="both"/>
      </w:pPr>
      <w:r>
        <w:rPr>
          <w:b/>
          <w:bCs/>
          <w:rFonts w:ascii="Times New Roman" w:hAnsi="Times New Roman" w:eastAsia="Times New Roman" w:cs="Times New Roman"/>
          <w:color w:val="000000"/>
          <w:sz w:val="23"/>
          <w:szCs w:val="23"/>
        </w:rPr>
        <w:t xml:space="preserve">Table 2: Data Maturity Evaluation — Pre- and Post-Ingestion Comparison</w:t>
      </w:r>
    </w:p>
    <w:tbl>
      <w:tblPr>
        <w:tblStyle w:val="Table"/>
        <w:tblW w:type="auto" w:w="0"/>
        <w:tblLayout w:type="autofit"/>
        <w:tblLook w:firstRow="1" w:lastRow="0" w:firstColumn="0" w:lastColumn="0" w:noHBand="0" w:noVBand="0" w:val="0020"/>
      </w:tblPr>
      <w:tblGrid>
        <w:gridCol w:w="1885"/>
        <w:gridCol w:w="1131"/>
        <w:gridCol w:w="1885"/>
        <w:gridCol w:w="1885"/>
        <w:gridCol w:w="1131"/>
      </w:tblGrid>
      <w:tr>
        <w:trPr>
          <w:tblHeader w:val="1"/>
          <w:cantSplit/>
        </w:trPr>
        <w:tc>
          <w:tcPr>
            <w:tcBorders>
              <w:top w:val="single" w:sz="8" w:space="0" w:color="000000"/>
              <w:bottom w:val="single" w:sz="8" w:space="0" w:color="000000"/>
            </w:tcBorders>
          </w:tcPr>
          <w:p>
            <w:pPr>
              <w:pStyle w:val="Compact"/>
              <w:jc w:val="center"/>
              <w:spacing w:before="40" w:after="40" w:line="240" w:lineRule="auto"/>
            </w:pPr>
            <w:r>
              <w:t xml:space="preserve">#</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Dataset / Spatial Layer</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jc w:val="center"/>
              <w:spacing w:before="40" w:after="40" w:line="240" w:lineRule="auto"/>
            </w:pPr>
            <w:r>
              <w:t xml:space="preserve">Baseline Status</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jc w:val="center"/>
              <w:spacing w:before="40" w:after="40" w:line="240" w:lineRule="auto"/>
            </w:pPr>
            <w:r>
              <w:t xml:space="preserve">Post-Ingestion Status</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Operational Progress &amp; Resolution</w:t>
              <w:rPr>
                <w:b/>
                <w:bCs/>
                <w:rFonts w:ascii="Times New Roman" w:hAnsi="Times New Roman" w:eastAsia="Times New Roman" w:cs="Times New Roman"/>
                <w:color w:val="000000"/>
                <w:sz w:val="19"/>
                <w:szCs w:val="19"/>
              </w:rPr>
            </w:r>
          </w:p>
        </w:tc>
      </w:tr>
      <w:tr>
        <w:tc>
          <w:tcPr/>
          <w:p>
            <w:pPr>
              <w:pStyle w:val="Compact"/>
              <w:jc w:val="center"/>
              <w:spacing w:before="40" w:after="40" w:line="240" w:lineRule="auto"/>
            </w:pPr>
            <w:r>
              <w:t xml:space="preserve">1</w:t>
              <w:rPr>
                <w:rFonts w:ascii="Times New Roman" w:hAnsi="Times New Roman" w:eastAsia="Times New Roman" w:cs="Times New Roman"/>
                <w:color w:val="000000"/>
                <w:sz w:val="19"/>
                <w:szCs w:val="19"/>
              </w:rPr>
            </w:r>
          </w:p>
        </w:tc>
        <w:tc>
          <w:tcPr/>
          <w:p>
            <w:pPr>
              <w:pStyle w:val="Compact"/>
              <w:spacing w:before="40" w:after="40" w:line="240" w:lineRule="auto"/>
            </w:pPr>
            <w:r>
              <w:rPr>
                <w:b/>
                <w:bCs/>
                <w:rFonts w:ascii="Times New Roman" w:hAnsi="Times New Roman" w:eastAsia="Times New Roman" w:cs="Times New Roman"/>
                <w:color w:val="000000"/>
                <w:sz w:val="19"/>
                <w:szCs w:val="19"/>
              </w:rPr>
              <w:t xml:space="preserve">Active Faults &amp; Setback Buffers</w:t>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C</w:t>
            </w:r>
            <w:r>
              <w:t xml:space="preserve"> </w:t>
              <w:rPr>
                <w:rFonts w:ascii="Times New Roman" w:hAnsi="Times New Roman" w:eastAsia="Times New Roman" w:cs="Times New Roman"/>
                <w:color w:val="000000"/>
                <w:sz w:val="19"/>
                <w:szCs w:val="19"/>
              </w:rPr>
            </w:r>
            <w:r>
              <w:t xml:space="preserve">(Deficit)</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A</w:t>
            </w:r>
            <w:r>
              <w:t xml:space="preserve"> </w:t>
              <w:rPr>
                <w:rFonts w:ascii="Times New Roman" w:hAnsi="Times New Roman" w:eastAsia="Times New Roman" w:cs="Times New Roman"/>
                <w:color w:val="000000"/>
                <w:sz w:val="19"/>
                <w:szCs w:val="19"/>
              </w:rPr>
            </w:r>
            <w:r>
              <w:t xml:space="preserve">(Operational)</w:t>
              <w:rPr>
                <w:rFonts w:ascii="Times New Roman" w:hAnsi="Times New Roman" w:eastAsia="Times New Roman" w:cs="Times New Roman"/>
                <w:color w:val="000000"/>
                <w:sz w:val="19"/>
                <w:szCs w:val="19"/>
              </w:rPr>
            </w:r>
          </w:p>
        </w:tc>
        <w:tc>
          <w:tcPr/>
          <w:p>
            <w:pPr>
              <w:pStyle w:val="Compact"/>
              <w:spacing w:before="40" w:after="40" w:line="240" w:lineRule="auto"/>
            </w:pPr>
            <w:r>
              <w:t xml:space="preserve">Official MTA 2026 TDFH ingested; 1,102 fault traces mapped in GIS.</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t xml:space="preserve">2</w:t>
              <w:rPr>
                <w:rFonts w:ascii="Times New Roman" w:hAnsi="Times New Roman" w:eastAsia="Times New Roman" w:cs="Times New Roman"/>
                <w:color w:val="000000"/>
                <w:sz w:val="19"/>
                <w:szCs w:val="19"/>
              </w:rPr>
            </w:r>
          </w:p>
        </w:tc>
        <w:tc>
          <w:tcPr/>
          <w:p>
            <w:pPr>
              <w:pStyle w:val="Compact"/>
              <w:spacing w:before="40" w:after="40" w:line="240" w:lineRule="auto"/>
            </w:pPr>
            <w:r>
              <w:rPr>
                <w:b/>
                <w:bCs/>
                <w:rFonts w:ascii="Times New Roman" w:hAnsi="Times New Roman" w:eastAsia="Times New Roman" w:cs="Times New Roman"/>
                <w:color w:val="000000"/>
                <w:sz w:val="19"/>
                <w:szCs w:val="19"/>
              </w:rPr>
              <w:t xml:space="preserve">2020 Empirical Damage Registry</w:t>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B</w:t>
            </w:r>
            <w:r>
              <w:t xml:space="preserve"> </w:t>
              <w:rPr>
                <w:rFonts w:ascii="Times New Roman" w:hAnsi="Times New Roman" w:eastAsia="Times New Roman" w:cs="Times New Roman"/>
                <w:color w:val="000000"/>
                <w:sz w:val="19"/>
                <w:szCs w:val="19"/>
              </w:rPr>
            </w:r>
            <w:r>
              <w:t xml:space="preserve">(Tabular)</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A</w:t>
            </w:r>
            <w:r>
              <w:t xml:space="preserve"> </w:t>
              <w:rPr>
                <w:rFonts w:ascii="Times New Roman" w:hAnsi="Times New Roman" w:eastAsia="Times New Roman" w:cs="Times New Roman"/>
                <w:color w:val="000000"/>
                <w:sz w:val="19"/>
                <w:szCs w:val="19"/>
              </w:rPr>
            </w:r>
            <w:r>
              <w:t xml:space="preserve">(Operational)</w:t>
              <w:rPr>
                <w:rFonts w:ascii="Times New Roman" w:hAnsi="Times New Roman" w:eastAsia="Times New Roman" w:cs="Times New Roman"/>
                <w:color w:val="000000"/>
                <w:sz w:val="19"/>
                <w:szCs w:val="19"/>
              </w:rPr>
            </w:r>
          </w:p>
        </w:tc>
        <w:tc>
          <w:tcPr/>
          <w:p>
            <w:pPr>
              <w:pStyle w:val="Compact"/>
              <w:spacing w:before="40" w:after="40" w:line="240" w:lineRule="auto"/>
            </w:pPr>
            <w:r>
              <w:t xml:space="preserve">215,603 building records processed; 1,710 damage pins geocoded.</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t xml:space="preserve">3</w:t>
              <w:rPr>
                <w:rFonts w:ascii="Times New Roman" w:hAnsi="Times New Roman" w:eastAsia="Times New Roman" w:cs="Times New Roman"/>
                <w:color w:val="000000"/>
                <w:sz w:val="19"/>
                <w:szCs w:val="19"/>
              </w:rPr>
            </w:r>
          </w:p>
        </w:tc>
        <w:tc>
          <w:tcPr/>
          <w:p>
            <w:pPr>
              <w:pStyle w:val="Compact"/>
              <w:spacing w:before="40" w:after="40" w:line="240" w:lineRule="auto"/>
            </w:pPr>
            <w:r>
              <w:rPr>
                <w:b/>
                <w:bCs/>
                <w:rFonts w:ascii="Times New Roman" w:hAnsi="Times New Roman" w:eastAsia="Times New Roman" w:cs="Times New Roman"/>
                <w:color w:val="000000"/>
                <w:sz w:val="19"/>
                <w:szCs w:val="19"/>
              </w:rPr>
              <w:t xml:space="preserve">Hospitals &amp; Healthcare Outposts</w:t>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B</w:t>
            </w:r>
            <w:r>
              <w:t xml:space="preserve"> </w:t>
              <w:rPr>
                <w:rFonts w:ascii="Times New Roman" w:hAnsi="Times New Roman" w:eastAsia="Times New Roman" w:cs="Times New Roman"/>
                <w:color w:val="000000"/>
                <w:sz w:val="19"/>
                <w:szCs w:val="19"/>
              </w:rPr>
            </w:r>
            <w:r>
              <w:t xml:space="preserve">(Partial)</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A</w:t>
            </w:r>
            <w:r>
              <w:t xml:space="preserve"> </w:t>
              <w:rPr>
                <w:rFonts w:ascii="Times New Roman" w:hAnsi="Times New Roman" w:eastAsia="Times New Roman" w:cs="Times New Roman"/>
                <w:color w:val="000000"/>
                <w:sz w:val="19"/>
                <w:szCs w:val="19"/>
              </w:rPr>
            </w:r>
            <w:r>
              <w:t xml:space="preserve">(Operational)</w:t>
              <w:rPr>
                <w:rFonts w:ascii="Times New Roman" w:hAnsi="Times New Roman" w:eastAsia="Times New Roman" w:cs="Times New Roman"/>
                <w:color w:val="000000"/>
                <w:sz w:val="19"/>
                <w:szCs w:val="19"/>
              </w:rPr>
            </w:r>
          </w:p>
        </w:tc>
        <w:tc>
          <w:tcPr/>
          <w:p>
            <w:pPr>
              <w:pStyle w:val="Compact"/>
              <w:spacing w:before="40" w:after="40" w:line="240" w:lineRule="auto"/>
            </w:pPr>
            <w:r>
              <w:t xml:space="preserve">66 hospitals, 129 EMS stations, and 497 ASMs fully georeferenced.</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t xml:space="preserve">4</w:t>
              <w:rPr>
                <w:rFonts w:ascii="Times New Roman" w:hAnsi="Times New Roman" w:eastAsia="Times New Roman" w:cs="Times New Roman"/>
                <w:color w:val="000000"/>
                <w:sz w:val="19"/>
                <w:szCs w:val="19"/>
              </w:rPr>
            </w:r>
          </w:p>
        </w:tc>
        <w:tc>
          <w:tcPr/>
          <w:p>
            <w:pPr>
              <w:pStyle w:val="Compact"/>
              <w:spacing w:before="40" w:after="40" w:line="240" w:lineRule="auto"/>
            </w:pPr>
            <w:r>
              <w:rPr>
                <w:b/>
                <w:bCs/>
                <w:rFonts w:ascii="Times New Roman" w:hAnsi="Times New Roman" w:eastAsia="Times New Roman" w:cs="Times New Roman"/>
                <w:color w:val="000000"/>
                <w:sz w:val="19"/>
                <w:szCs w:val="19"/>
              </w:rPr>
              <w:t xml:space="preserve">Energy &amp; Gas Lifelines</w:t>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C</w:t>
            </w:r>
            <w:r>
              <w:t xml:space="preserve"> </w:t>
              <w:rPr>
                <w:rFonts w:ascii="Times New Roman" w:hAnsi="Times New Roman" w:eastAsia="Times New Roman" w:cs="Times New Roman"/>
                <w:color w:val="000000"/>
                <w:sz w:val="19"/>
                <w:szCs w:val="19"/>
              </w:rPr>
            </w:r>
            <w:r>
              <w:t xml:space="preserve">(Deficit)</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A</w:t>
            </w:r>
            <w:r>
              <w:t xml:space="preserve"> </w:t>
              <w:rPr>
                <w:rFonts w:ascii="Times New Roman" w:hAnsi="Times New Roman" w:eastAsia="Times New Roman" w:cs="Times New Roman"/>
                <w:color w:val="000000"/>
                <w:sz w:val="19"/>
                <w:szCs w:val="19"/>
              </w:rPr>
            </w:r>
            <w:r>
              <w:t xml:space="preserve">(Operational)</w:t>
              <w:rPr>
                <w:rFonts w:ascii="Times New Roman" w:hAnsi="Times New Roman" w:eastAsia="Times New Roman" w:cs="Times New Roman"/>
                <w:color w:val="000000"/>
                <w:sz w:val="19"/>
                <w:szCs w:val="19"/>
              </w:rPr>
            </w:r>
          </w:p>
        </w:tc>
        <w:tc>
          <w:tcPr/>
          <w:p>
            <w:pPr>
              <w:pStyle w:val="Compact"/>
              <w:spacing w:before="40" w:after="40" w:line="240" w:lineRule="auto"/>
            </w:pPr>
            <w:r>
              <w:t xml:space="preserve">109 TEİAŞ substations, 128 HV lines, and 28 BOTAŞ trunklines mapped.</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t xml:space="preserve">5</w:t>
              <w:rPr>
                <w:rFonts w:ascii="Times New Roman" w:hAnsi="Times New Roman" w:eastAsia="Times New Roman" w:cs="Times New Roman"/>
                <w:color w:val="000000"/>
                <w:sz w:val="19"/>
                <w:szCs w:val="19"/>
              </w:rPr>
            </w:r>
          </w:p>
        </w:tc>
        <w:tc>
          <w:tcPr/>
          <w:p>
            <w:pPr>
              <w:pStyle w:val="Compact"/>
              <w:spacing w:before="40" w:after="40" w:line="240" w:lineRule="auto"/>
            </w:pPr>
            <w:r>
              <w:rPr>
                <w:b/>
                <w:bCs/>
                <w:rFonts w:ascii="Times New Roman" w:hAnsi="Times New Roman" w:eastAsia="Times New Roman" w:cs="Times New Roman"/>
                <w:color w:val="000000"/>
                <w:sz w:val="19"/>
                <w:szCs w:val="19"/>
              </w:rPr>
              <w:t xml:space="preserve">Water, Dams &amp; Flood Infrastructure</w:t>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C</w:t>
            </w:r>
            <w:r>
              <w:t xml:space="preserve"> </w:t>
              <w:rPr>
                <w:rFonts w:ascii="Times New Roman" w:hAnsi="Times New Roman" w:eastAsia="Times New Roman" w:cs="Times New Roman"/>
                <w:color w:val="000000"/>
                <w:sz w:val="19"/>
                <w:szCs w:val="19"/>
              </w:rPr>
            </w:r>
            <w:r>
              <w:t xml:space="preserve">(Deficit)</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A/B</w:t>
            </w:r>
            <w:r>
              <w:t xml:space="preserve"> </w:t>
              <w:rPr>
                <w:rFonts w:ascii="Times New Roman" w:hAnsi="Times New Roman" w:eastAsia="Times New Roman" w:cs="Times New Roman"/>
                <w:color w:val="000000"/>
                <w:sz w:val="19"/>
                <w:szCs w:val="19"/>
              </w:rPr>
            </w:r>
            <w:r>
              <w:t xml:space="preserve">(Advanced)</w:t>
              <w:rPr>
                <w:rFonts w:ascii="Times New Roman" w:hAnsi="Times New Roman" w:eastAsia="Times New Roman" w:cs="Times New Roman"/>
                <w:color w:val="000000"/>
                <w:sz w:val="19"/>
                <w:szCs w:val="19"/>
              </w:rPr>
            </w:r>
          </w:p>
        </w:tc>
        <w:tc>
          <w:tcPr/>
          <w:p>
            <w:pPr>
              <w:pStyle w:val="Compact"/>
              <w:spacing w:before="40" w:after="40" w:line="240" w:lineRule="auto"/>
            </w:pPr>
            <w:r>
              <w:t xml:space="preserve">1,450 km İZSU pipes, 1,001 DSİ works, 8 dams, 25 gauges linked.</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t xml:space="preserve">6</w:t>
              <w:rPr>
                <w:rFonts w:ascii="Times New Roman" w:hAnsi="Times New Roman" w:eastAsia="Times New Roman" w:cs="Times New Roman"/>
                <w:color w:val="000000"/>
                <w:sz w:val="19"/>
                <w:szCs w:val="19"/>
              </w:rPr>
            </w:r>
          </w:p>
        </w:tc>
        <w:tc>
          <w:tcPr/>
          <w:p>
            <w:pPr>
              <w:pStyle w:val="Compact"/>
              <w:spacing w:before="40" w:after="40" w:line="240" w:lineRule="auto"/>
            </w:pPr>
            <w:r>
              <w:rPr>
                <w:b/>
                <w:bCs/>
                <w:rFonts w:ascii="Times New Roman" w:hAnsi="Times New Roman" w:eastAsia="Times New Roman" w:cs="Times New Roman"/>
                <w:color w:val="000000"/>
                <w:sz w:val="19"/>
                <w:szCs w:val="19"/>
              </w:rPr>
              <w:t xml:space="preserve">Engineering Structures (Bridges/Tunnels)</w:t>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B</w:t>
            </w:r>
            <w:r>
              <w:t xml:space="preserve"> </w:t>
              <w:rPr>
                <w:rFonts w:ascii="Times New Roman" w:hAnsi="Times New Roman" w:eastAsia="Times New Roman" w:cs="Times New Roman"/>
                <w:color w:val="000000"/>
                <w:sz w:val="19"/>
                <w:szCs w:val="19"/>
              </w:rPr>
            </w:r>
            <w:r>
              <w:t xml:space="preserve">(Partial)</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A</w:t>
            </w:r>
            <w:r>
              <w:t xml:space="preserve"> </w:t>
              <w:rPr>
                <w:rFonts w:ascii="Times New Roman" w:hAnsi="Times New Roman" w:eastAsia="Times New Roman" w:cs="Times New Roman"/>
                <w:color w:val="000000"/>
                <w:sz w:val="19"/>
                <w:szCs w:val="19"/>
              </w:rPr>
            </w:r>
            <w:r>
              <w:t xml:space="preserve">(Operational)</w:t>
              <w:rPr>
                <w:rFonts w:ascii="Times New Roman" w:hAnsi="Times New Roman" w:eastAsia="Times New Roman" w:cs="Times New Roman"/>
                <w:color w:val="000000"/>
                <w:sz w:val="19"/>
                <w:szCs w:val="19"/>
              </w:rPr>
            </w:r>
          </w:p>
        </w:tc>
        <w:tc>
          <w:tcPr/>
          <w:p>
            <w:pPr>
              <w:pStyle w:val="Compact"/>
              <w:spacing w:before="40" w:after="40" w:line="240" w:lineRule="auto"/>
            </w:pPr>
            <w:r>
              <w:t xml:space="preserve">115 KGM interchanges, 6 tunnels, and 983 bridges integrated.</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t xml:space="preserve">7</w:t>
              <w:rPr>
                <w:rFonts w:ascii="Times New Roman" w:hAnsi="Times New Roman" w:eastAsia="Times New Roman" w:cs="Times New Roman"/>
                <w:color w:val="000000"/>
                <w:sz w:val="19"/>
                <w:szCs w:val="19"/>
              </w:rPr>
            </w:r>
          </w:p>
        </w:tc>
        <w:tc>
          <w:tcPr/>
          <w:p>
            <w:pPr>
              <w:pStyle w:val="Compact"/>
              <w:spacing w:before="40" w:after="40" w:line="240" w:lineRule="auto"/>
            </w:pPr>
            <w:r>
              <w:rPr>
                <w:b/>
                <w:bCs/>
                <w:rFonts w:ascii="Times New Roman" w:hAnsi="Times New Roman" w:eastAsia="Times New Roman" w:cs="Times New Roman"/>
                <w:color w:val="000000"/>
                <w:sz w:val="19"/>
                <w:szCs w:val="19"/>
              </w:rPr>
              <w:t xml:space="preserve">Emergency Assembly &amp; Evacuation Sites</w:t>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C</w:t>
            </w:r>
            <w:r>
              <w:t xml:space="preserve"> </w:t>
              <w:rPr>
                <w:rFonts w:ascii="Times New Roman" w:hAnsi="Times New Roman" w:eastAsia="Times New Roman" w:cs="Times New Roman"/>
                <w:color w:val="000000"/>
                <w:sz w:val="19"/>
                <w:szCs w:val="19"/>
              </w:rPr>
            </w:r>
            <w:r>
              <w:t xml:space="preserve">(Unverified)</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A</w:t>
            </w:r>
            <w:r>
              <w:t xml:space="preserve"> </w:t>
              <w:rPr>
                <w:rFonts w:ascii="Times New Roman" w:hAnsi="Times New Roman" w:eastAsia="Times New Roman" w:cs="Times New Roman"/>
                <w:color w:val="000000"/>
                <w:sz w:val="19"/>
                <w:szCs w:val="19"/>
              </w:rPr>
            </w:r>
            <w:r>
              <w:t xml:space="preserve">(Operational)</w:t>
              <w:rPr>
                <w:rFonts w:ascii="Times New Roman" w:hAnsi="Times New Roman" w:eastAsia="Times New Roman" w:cs="Times New Roman"/>
                <w:color w:val="000000"/>
                <w:sz w:val="19"/>
                <w:szCs w:val="19"/>
              </w:rPr>
            </w:r>
          </w:p>
        </w:tc>
        <w:tc>
          <w:tcPr/>
          <w:p>
            <w:pPr>
              <w:pStyle w:val="Compact"/>
              <w:spacing w:before="40" w:after="40" w:line="240" w:lineRule="auto"/>
            </w:pPr>
            <w:r>
              <w:t xml:space="preserve">2,428 official AFAD/İBB assembly polygons and capacities connected.</w:t>
              <w:rPr>
                <w:rFonts w:ascii="Times New Roman" w:hAnsi="Times New Roman" w:eastAsia="Times New Roman" w:cs="Times New Roman"/>
                <w:color w:val="000000"/>
                <w:sz w:val="19"/>
                <w:szCs w:val="19"/>
              </w:rPr>
            </w:r>
          </w:p>
        </w:tc>
        <w:trPr>
          <w:cantSplit/>
        </w:trPr>
      </w:tr>
      <w:tr>
        <w:tc>
          <w:tcPr>
            <w:tcBorders>
              <w:bottom w:val="single" w:sz="8" w:space="0" w:color="000000"/>
            </w:tcBorders>
          </w:tcPr>
          <w:p>
            <w:pPr>
              <w:pStyle w:val="Compact"/>
              <w:jc w:val="center"/>
              <w:spacing w:before="40" w:after="40" w:line="240" w:lineRule="auto"/>
            </w:pPr>
            <w:r>
              <w:t xml:space="preserve">8</w:t>
              <w:rPr>
                <w:rFonts w:ascii="Times New Roman" w:hAnsi="Times New Roman" w:eastAsia="Times New Roman" w:cs="Times New Roman"/>
                <w:color w:val="000000"/>
                <w:sz w:val="19"/>
                <w:szCs w:val="19"/>
              </w:rPr>
            </w:r>
          </w:p>
        </w:tc>
        <w:tc>
          <w:tcPr>
            <w:tcBorders>
              <w:bottom w:val="single" w:sz="8" w:space="0" w:color="000000"/>
            </w:tcBorders>
          </w:tcPr>
          <w:p>
            <w:pPr>
              <w:pStyle w:val="Compact"/>
              <w:spacing w:before="40" w:after="40" w:line="240" w:lineRule="auto"/>
            </w:pPr>
            <w:r>
              <w:rPr>
                <w:b/>
                <w:bCs/>
                <w:rFonts w:ascii="Times New Roman" w:hAnsi="Times New Roman" w:eastAsia="Times New Roman" w:cs="Times New Roman"/>
                <w:color w:val="000000"/>
                <w:sz w:val="19"/>
                <w:szCs w:val="19"/>
              </w:rPr>
              <w:t xml:space="preserve">Fire &amp; Industrial Emergency Incidents</w:t>
            </w:r>
          </w:p>
        </w:tc>
        <w:tc>
          <w:tcPr>
            <w:tcBorders>
              <w:bottom w:val="single" w:sz="8" w:space="0" w:color="000000"/>
            </w:tcBorders>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C</w:t>
            </w:r>
            <w:r>
              <w:t xml:space="preserve"> </w:t>
              <w:rPr>
                <w:rFonts w:ascii="Times New Roman" w:hAnsi="Times New Roman" w:eastAsia="Times New Roman" w:cs="Times New Roman"/>
                <w:color w:val="000000"/>
                <w:sz w:val="19"/>
                <w:szCs w:val="19"/>
              </w:rPr>
            </w:r>
            <w:r>
              <w:t xml:space="preserve">(Missing)</w:t>
              <w:rPr>
                <w:rFonts w:ascii="Times New Roman" w:hAnsi="Times New Roman" w:eastAsia="Times New Roman" w:cs="Times New Roman"/>
                <w:color w:val="000000"/>
                <w:sz w:val="19"/>
                <w:szCs w:val="19"/>
              </w:rPr>
            </w:r>
          </w:p>
        </w:tc>
        <w:tc>
          <w:tcPr>
            <w:tcBorders>
              <w:bottom w:val="single" w:sz="8" w:space="0" w:color="000000"/>
            </w:tcBorders>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A</w:t>
            </w:r>
            <w:r>
              <w:t xml:space="preserve"> </w:t>
              <w:rPr>
                <w:rFonts w:ascii="Times New Roman" w:hAnsi="Times New Roman" w:eastAsia="Times New Roman" w:cs="Times New Roman"/>
                <w:color w:val="000000"/>
                <w:sz w:val="19"/>
                <w:szCs w:val="19"/>
              </w:rPr>
            </w:r>
            <w:r>
              <w:t xml:space="preserve">(Operational)</w:t>
              <w:rPr>
                <w:rFonts w:ascii="Times New Roman" w:hAnsi="Times New Roman" w:eastAsia="Times New Roman" w:cs="Times New Roman"/>
                <w:color w:val="000000"/>
                <w:sz w:val="19"/>
                <w:szCs w:val="19"/>
              </w:rPr>
            </w:r>
          </w:p>
        </w:tc>
        <w:tc>
          <w:tcPr>
            <w:tcBorders>
              <w:bottom w:val="single" w:sz="8" w:space="0" w:color="000000"/>
            </w:tcBorders>
          </w:tcPr>
          <w:p>
            <w:pPr>
              <w:pStyle w:val="Compact"/>
              <w:spacing w:before="40" w:after="40" w:line="240" w:lineRule="auto"/>
            </w:pPr>
            <w:r>
              <w:t xml:space="preserve">4,721 fire incidents geocoded and disaggregated per district/mahalle.</w:t>
              <w:rPr>
                <w:rFonts w:ascii="Times New Roman" w:hAnsi="Times New Roman" w:eastAsia="Times New Roman" w:cs="Times New Roman"/>
                <w:color w:val="000000"/>
                <w:sz w:val="19"/>
                <w:szCs w:val="19"/>
              </w:rPr>
            </w:r>
          </w:p>
        </w:tc>
        <w:trPr>
          <w:cantSplit/>
        </w:trPr>
      </w:tr>
    </w:tbl>
    <w:p>
      <w:r>
        <w:pict>
          <ns5:rect style="width:0;height:1.5pt" ns6:hralign="center" ns6:hrstd="t" ns6:hr="t"/>
        </w:pict>
        <w:rPr>
          <w:rFonts w:ascii="Times New Roman" w:hAnsi="Times New Roman" w:eastAsia="Times New Roman" w:cs="Times New Roman"/>
          <w:color w:val="000000"/>
          <w:sz w:val="23"/>
          <w:szCs w:val="23"/>
        </w:rPr>
      </w:r>
      <w:pPr>
        <w:spacing w:before="0" w:after="100" w:line="360" w:lineRule="auto"/>
        <w:jc w:val="both"/>
      </w:pPr>
    </w:p>
    <w:bookmarkEnd w:id="24"/>
    <w:bookmarkStart w:id="25" w:name="X4c650f35294ba3315fa21c74b5476704d24623e"/>
    <w:p>
      <w:pPr>
        <w:pStyle w:val="Heading1"/>
      </w:pPr>
      <w:r>
        <w:t xml:space="preserve">SECTION 5: INTERDISCIPLINARY WORKFLOW AND MULTI-HAZARD SYNTHESIS</w:t>
        <w:rPr>
          <w:rFonts w:ascii="Times New Roman" w:hAnsi="Times New Roman" w:eastAsia="Times New Roman" w:cs="Times New Roman"/>
          <w:color w:val="000000"/>
        </w:rPr>
      </w:r>
    </w:p>
    <w:p>
      <w:pPr>
        <w:pStyle w:val="FirstParagraph"/>
        <w:spacing w:before="0" w:after="100" w:line="360" w:lineRule="auto"/>
        <w:jc w:val="both"/>
      </w:pPr>
      <w:r>
        <w:t xml:space="preserve">The integrated data workflow operationalized across thematic leads is illustrated in Figure 1:</w:t>
        <w:rPr>
          <w:rFonts w:ascii="Times New Roman" w:hAnsi="Times New Roman" w:eastAsia="Times New Roman" w:cs="Times New Roman"/>
          <w:color w:val="000000"/>
          <w:sz w:val="23"/>
          <w:szCs w:val="23"/>
        </w:rPr>
      </w:r>
    </w:p>
    <w:p>
      <w:pPr>
        <w:pStyle w:val="SourceCode"/>
        <w:spacing w:before="0" w:after="100" w:line="360" w:lineRule="auto"/>
        <w:jc w:val="both"/>
      </w:pPr>
      <w:r>
        <w:rPr>
          <w:rStyle w:val="VerbatimChar"/>
          <w:rFonts w:ascii="Times New Roman" w:hAnsi="Times New Roman" w:eastAsia="Times New Roman" w:cs="Times New Roman"/>
          <w:color w:val="000000"/>
          <w:sz w:val="23"/>
          <w:szCs w:val="23"/>
        </w:rPr>
        <w:t xml:space="preserve">[AFAD / Inter-Agency Institutional Data Intake (2.15 GB)]</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[Central GIS Processing &amp; Validation Hub]</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(TUREF TM27 / EPSG:5253 &amp; WGS84 Standard, QA/QC)</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                   ▼                   ▼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[Hasan Sözbilir]   [Egemen Aras /      [Onur Pekcan]       [Hilmi Evren Erdin]</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Uğur Serencam]</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MTA 2026 Faults  - DSİ Flood Lines   - SEVESO Facilities - Mahalle Decision Model</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Seismotectonics  - AGİ/TEUS Gauges   - NaTech Fragility  - 15-Expert F-BWM</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Liquefaction     - Climate Extremes  - Critical Assets   - Systemic Redundancy</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                   │                   │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[Unified Multi-Hazard Vulnerability Engine]</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[Live Web Decision-Support Platform v3.8]</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(https://geophilo.com/resilient-izmir/)</w:t>
      </w:r>
    </w:p>
    <w:p>
      <w:pPr>
        <w:pStyle w:val="Compact"/>
        <w:numPr>
          <w:ilvl w:val="0"/>
          <w:numId w:val="1002"/>
        </w:numPr>
        <w:spacing w:before="0" w:after="100" w:line="360" w:lineRule="auto"/>
        <w:jc w:val="both"/>
      </w:pPr>
      <w:r>
        <w:rPr>
          <w:b/>
          <w:bCs/>
          <w:rFonts w:ascii="Times New Roman" w:hAnsi="Times New Roman" w:eastAsia="Times New Roman" w:cs="Times New Roman"/>
          <w:color w:val="000000"/>
          <w:sz w:val="23"/>
          <w:szCs w:val="23"/>
        </w:rPr>
        <w:t xml:space="preserve">Prof. Dr. Hasan Sözbilir:</w:t>
      </w:r>
      <w:r>
        <w:t xml:space="preserve"> </w:t>
        <w:rPr>
          <w:rFonts w:ascii="Times New Roman" w:hAnsi="Times New Roman" w:eastAsia="Times New Roman" w:cs="Times New Roman"/>
          <w:color w:val="000000"/>
          <w:sz w:val="23"/>
          <w:szCs w:val="23"/>
        </w:rPr>
      </w:r>
      <w:r>
        <w:t xml:space="preserve">Fault segment kinematics, paleoseismic activity grades, and geotechnical site-amplification correlations.</w:t>
        <w:rPr>
          <w:rFonts w:ascii="Times New Roman" w:hAnsi="Times New Roman" w:eastAsia="Times New Roman" w:cs="Times New Roman"/>
          <w:color w:val="000000"/>
          <w:sz w:val="23"/>
          <w:szCs w:val="23"/>
        </w:rPr>
      </w:r>
    </w:p>
    <w:p>
      <w:pPr>
        <w:pStyle w:val="Compact"/>
        <w:numPr>
          <w:ilvl w:val="0"/>
          <w:numId w:val="1002"/>
        </w:numPr>
        <w:spacing w:before="0" w:after="100" w:line="360" w:lineRule="auto"/>
        <w:jc w:val="both"/>
      </w:pPr>
      <w:r>
        <w:rPr>
          <w:b/>
          <w:bCs/>
          <w:rFonts w:ascii="Times New Roman" w:hAnsi="Times New Roman" w:eastAsia="Times New Roman" w:cs="Times New Roman"/>
          <w:color w:val="000000"/>
          <w:sz w:val="23"/>
          <w:szCs w:val="23"/>
        </w:rPr>
        <w:t xml:space="preserve">Assoc. Prof. Dr. Egemen Aras &amp; Dr. Uğur Serencam:</w:t>
      </w:r>
      <w:r>
        <w:t xml:space="preserve"> </w:t>
        <w:rPr>
          <w:rFonts w:ascii="Times New Roman" w:hAnsi="Times New Roman" w:eastAsia="Times New Roman" w:cs="Times New Roman"/>
          <w:color w:val="000000"/>
          <w:sz w:val="23"/>
          <w:szCs w:val="23"/>
        </w:rPr>
      </w:r>
      <w:r>
        <w:t xml:space="preserve">DSİ hydraulic defense structures, flood gauging thresholds, and climate extreme projections.</w:t>
        <w:rPr>
          <w:rFonts w:ascii="Times New Roman" w:hAnsi="Times New Roman" w:eastAsia="Times New Roman" w:cs="Times New Roman"/>
          <w:color w:val="000000"/>
          <w:sz w:val="23"/>
          <w:szCs w:val="23"/>
        </w:rPr>
      </w:r>
    </w:p>
    <w:p>
      <w:pPr>
        <w:pStyle w:val="Compact"/>
        <w:numPr>
          <w:ilvl w:val="0"/>
          <w:numId w:val="1002"/>
        </w:numPr>
        <w:spacing w:before="0" w:after="100" w:line="360" w:lineRule="auto"/>
        <w:jc w:val="both"/>
      </w:pPr>
      <w:r>
        <w:rPr>
          <w:b/>
          <w:bCs/>
          <w:rFonts w:ascii="Times New Roman" w:hAnsi="Times New Roman" w:eastAsia="Times New Roman" w:cs="Times New Roman"/>
          <w:color w:val="000000"/>
          <w:sz w:val="23"/>
          <w:szCs w:val="23"/>
        </w:rPr>
        <w:t xml:space="preserve">Assoc. Prof. Dr. Onur Pekcan:</w:t>
      </w:r>
      <w:r>
        <w:t xml:space="preserve"> </w:t>
        <w:rPr>
          <w:rFonts w:ascii="Times New Roman" w:hAnsi="Times New Roman" w:eastAsia="Times New Roman" w:cs="Times New Roman"/>
          <w:color w:val="000000"/>
          <w:sz w:val="23"/>
          <w:szCs w:val="23"/>
        </w:rPr>
      </w:r>
      <w:r>
        <w:t xml:space="preserve">High-tier SEVESO facilities (Aliağa TÜPRAŞ, PETKİM, STAR, EGEGAZ), hazardous material storages, and cascading NaTech vulnerabilities.</w:t>
        <w:rPr>
          <w:rFonts w:ascii="Times New Roman" w:hAnsi="Times New Roman" w:eastAsia="Times New Roman" w:cs="Times New Roman"/>
          <w:color w:val="000000"/>
          <w:sz w:val="23"/>
          <w:szCs w:val="23"/>
        </w:rPr>
      </w:r>
    </w:p>
    <w:p>
      <w:pPr>
        <w:pStyle w:val="Compact"/>
        <w:numPr>
          <w:ilvl w:val="0"/>
          <w:numId w:val="1002"/>
        </w:numPr>
        <w:spacing w:before="0" w:after="100" w:line="360" w:lineRule="auto"/>
        <w:jc w:val="both"/>
      </w:pPr>
      <w:r>
        <w:rPr>
          <w:b/>
          <w:bCs/>
          <w:rFonts w:ascii="Times New Roman" w:hAnsi="Times New Roman" w:eastAsia="Times New Roman" w:cs="Times New Roman"/>
          <w:color w:val="000000"/>
          <w:sz w:val="23"/>
          <w:szCs w:val="23"/>
        </w:rPr>
        <w:t xml:space="preserve">Prof. Dr. Hilmi Evren Erdin:</w:t>
      </w:r>
      <w:r>
        <w:t xml:space="preserve"> </w:t>
        <w:rPr>
          <w:rFonts w:ascii="Times New Roman" w:hAnsi="Times New Roman" w:eastAsia="Times New Roman" w:cs="Times New Roman"/>
          <w:color w:val="000000"/>
          <w:sz w:val="23"/>
          <w:szCs w:val="23"/>
        </w:rPr>
      </w:r>
      <w:r>
        <w:t xml:space="preserve">Multi-criteria 15-expert Fuzzy Best-Worst Method (F-BWM) synthesis across 1,317 neighbourhoods, urban accessibility modeling, and spatial decision logic.</w:t>
        <w:rPr>
          <w:rFonts w:ascii="Times New Roman" w:hAnsi="Times New Roman" w:eastAsia="Times New Roman" w:cs="Times New Roman"/>
          <w:color w:val="000000"/>
          <w:sz w:val="23"/>
          <w:szCs w:val="23"/>
        </w:rPr>
      </w:r>
    </w:p>
    <w:p>
      <w:pPr>
        <w:pStyle w:val="Compact"/>
        <w:numPr>
          <w:ilvl w:val="0"/>
          <w:numId w:val="1002"/>
        </w:numPr>
        <w:spacing w:before="0" w:after="100" w:line="360" w:lineRule="auto"/>
        <w:jc w:val="both"/>
      </w:pPr>
      <w:r>
        <w:rPr>
          <w:b/>
          <w:bCs/>
          <w:rFonts w:ascii="Times New Roman" w:hAnsi="Times New Roman" w:eastAsia="Times New Roman" w:cs="Times New Roman"/>
          <w:color w:val="000000"/>
          <w:sz w:val="23"/>
          <w:szCs w:val="23"/>
        </w:rPr>
        <w:t xml:space="preserve">Assoc. Prof. Dr. İsmail Çağrı Özcan:</w:t>
      </w:r>
      <w:r>
        <w:t xml:space="preserve"> </w:t>
        <w:rPr>
          <w:rFonts w:ascii="Times New Roman" w:hAnsi="Times New Roman" w:eastAsia="Times New Roman" w:cs="Times New Roman"/>
          <w:color w:val="000000"/>
          <w:sz w:val="23"/>
          <w:szCs w:val="23"/>
        </w:rPr>
      </w:r>
      <w:r>
        <w:t xml:space="preserve">Economic Cost-Benefit Analysis (CBA) and Triple Dividend appraisal for intervention portfolios S-01 through S-06.</w:t>
        <w:rPr>
          <w:rFonts w:ascii="Times New Roman" w:hAnsi="Times New Roman" w:eastAsia="Times New Roman" w:cs="Times New Roman"/>
          <w:color w:val="000000"/>
          <w:sz w:val="23"/>
          <w:szCs w:val="23"/>
        </w:rPr>
      </w:r>
    </w:p>
    <w:p>
      <w:r>
        <w:pict>
          <ns5:rect style="width:0;height:1.5pt" ns6:hralign="center" ns6:hrstd="t" ns6:hr="t"/>
        </w:pict>
        <w:rPr>
          <w:rFonts w:ascii="Times New Roman" w:hAnsi="Times New Roman" w:eastAsia="Times New Roman" w:cs="Times New Roman"/>
          <w:color w:val="000000"/>
          <w:sz w:val="23"/>
          <w:szCs w:val="23"/>
        </w:rPr>
      </w:r>
      <w:pPr>
        <w:spacing w:before="0" w:after="100" w:line="360" w:lineRule="auto"/>
        <w:jc w:val="both"/>
      </w:pPr>
    </w:p>
    <w:bookmarkEnd w:id="25"/>
    <w:bookmarkStart w:id="26" w:name="Xe88da7a1126b142e070d3d9e87145ba7af85eaf"/>
    <w:p>
      <w:pPr>
        <w:pStyle w:val="Heading1"/>
      </w:pPr>
      <w:r>
        <w:t xml:space="preserve">SECTION 6: WEB GIS DECISION SUPPORT PLATFORM INTEGRATION (v3.8)</w:t>
        <w:rPr>
          <w:rFonts w:ascii="Times New Roman" w:hAnsi="Times New Roman" w:eastAsia="Times New Roman" w:cs="Times New Roman"/>
          <w:color w:val="000000"/>
        </w:rPr>
      </w:r>
    </w:p>
    <w:p>
      <w:pPr>
        <w:pStyle w:val="FirstParagraph"/>
        <w:spacing w:before="0" w:after="100" w:line="360" w:lineRule="auto"/>
        <w:jc w:val="both"/>
      </w:pPr>
      <w:r>
        <w:t xml:space="preserve">The public and administrative GIS platform deployed at</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https://geophilo.com/resilient-izmir/</w:t>
      </w:r>
      <w:r>
        <w:t xml:space="preserve"> </w:t>
        <w:rPr>
          <w:rFonts w:ascii="Times New Roman" w:hAnsi="Times New Roman" w:eastAsia="Times New Roman" w:cs="Times New Roman"/>
          <w:color w:val="000000"/>
          <w:sz w:val="23"/>
          <w:szCs w:val="23"/>
        </w:rPr>
      </w:r>
      <w:r>
        <w:t xml:space="preserve">has been upgraded to Release v3.8:</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1.</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Critical Infrastructure Layer (991 Facilities):</w:t>
      </w:r>
      <w:r>
        <w:t xml:space="preserve"> </w:t>
        <w:rPr>
          <w:rFonts w:ascii="Times New Roman" w:hAnsi="Times New Roman" w:eastAsia="Times New Roman" w:cs="Times New Roman"/>
          <w:color w:val="000000"/>
          <w:sz w:val="23"/>
          <w:szCs w:val="23"/>
        </w:rPr>
      </w:r>
      <w:r>
        <w:t xml:space="preserve">Symbolized by sector with responsive pop-ups detailing managing authority, capacity, and systemic criticality score.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2.</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2020 Damage Hotspots Layer (1,710 Pin Locations):</w:t>
      </w:r>
      <w:r>
        <w:t xml:space="preserve"> </w:t>
        <w:rPr>
          <w:rFonts w:ascii="Times New Roman" w:hAnsi="Times New Roman" w:eastAsia="Times New Roman" w:cs="Times New Roman"/>
          <w:color w:val="000000"/>
          <w:sz w:val="23"/>
          <w:szCs w:val="23"/>
        </w:rPr>
      </w:r>
      <w:r>
        <w:t xml:space="preserve">Point layer displaying buildings classified as Collapsed, Urgent, Heavy, or Moderate damage during the 2020 earthquake.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3.</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Lifeline Network Polylines (1,157 Segments):</w:t>
      </w:r>
      <w:r>
        <w:t xml:space="preserve"> </w:t>
        <w:rPr>
          <w:rFonts w:ascii="Times New Roman" w:hAnsi="Times New Roman" w:eastAsia="Times New Roman" w:cs="Times New Roman"/>
          <w:color w:val="000000"/>
          <w:sz w:val="23"/>
          <w:szCs w:val="23"/>
        </w:rPr>
      </w:r>
      <w:r>
        <w:t xml:space="preserve">Vector overlays for TEİAŞ high-voltage transmission lines, BOTAŞ gas transmission lines, and DSİ flood protection channels.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4.</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MTA 2026 Active Fault Lines (1,102 Segments):</w:t>
      </w:r>
      <w:r>
        <w:t xml:space="preserve"> </w:t>
        <w:rPr>
          <w:rFonts w:ascii="Times New Roman" w:hAnsi="Times New Roman" w:eastAsia="Times New Roman" w:cs="Times New Roman"/>
          <w:color w:val="000000"/>
          <w:sz w:val="23"/>
          <w:szCs w:val="23"/>
        </w:rPr>
      </w:r>
      <w:r>
        <w:t xml:space="preserve">Active fault traces symbolized by tectonic activity class.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5.</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Interactive Scorecards &amp; Inspector Integration:</w:t>
      </w:r>
      <w:r>
        <w:t xml:space="preserve"> </w:t>
        <w:rPr>
          <w:rFonts w:ascii="Times New Roman" w:hAnsi="Times New Roman" w:eastAsia="Times New Roman" w:cs="Times New Roman"/>
          <w:color w:val="000000"/>
          <w:sz w:val="23"/>
          <w:szCs w:val="23"/>
        </w:rPr>
      </w:r>
      <w:r>
        <w:t xml:space="preserve">Live district cards (30 districts) and neighbourhood report card modals now display real 2020 building damage tallies, exact active fault distances, critical infrastructure assets, and historical fire incident counts.</w:t>
        <w:rPr>
          <w:rFonts w:ascii="Times New Roman" w:hAnsi="Times New Roman" w:eastAsia="Times New Roman" w:cs="Times New Roman"/>
          <w:color w:val="000000"/>
          <w:sz w:val="23"/>
          <w:szCs w:val="23"/>
        </w:rPr>
      </w:r>
    </w:p>
    <w:p>
      <w:r>
        <w:pict>
          <ns5:rect style="width:0;height:1.5pt" ns6:hralign="center" ns6:hrstd="t" ns6:hr="t"/>
        </w:pict>
        <w:rPr>
          <w:rFonts w:ascii="Times New Roman" w:hAnsi="Times New Roman" w:eastAsia="Times New Roman" w:cs="Times New Roman"/>
          <w:color w:val="000000"/>
          <w:sz w:val="23"/>
          <w:szCs w:val="23"/>
        </w:rPr>
      </w:r>
      <w:pPr>
        <w:spacing w:before="0" w:after="100" w:line="360" w:lineRule="auto"/>
        <w:jc w:val="both"/>
      </w:pPr>
    </w:p>
    <w:bookmarkEnd w:id="26"/>
    <w:bookmarkStart w:id="27" w:name="Xb9d6f6db23900a9f04e49f0152040b470dc3d2f"/>
    <w:p>
      <w:pPr>
        <w:pStyle w:val="Heading1"/>
      </w:pPr>
      <w:r>
        <w:t xml:space="preserve">SECTION 7: CONCLUSIONS AND ROADMAP TOWARD DECEMBER 31 MILESTONE</w:t>
        <w:rPr>
          <w:rFonts w:ascii="Times New Roman" w:hAnsi="Times New Roman" w:eastAsia="Times New Roman" w:cs="Times New Roman"/>
          <w:color w:val="000000"/>
        </w:rPr>
      </w:r>
    </w:p>
    <w:p>
      <w:pPr>
        <w:pStyle w:val="FirstParagraph"/>
        <w:spacing w:before="0" w:after="100" w:line="360" w:lineRule="auto"/>
        <w:jc w:val="both"/>
      </w:pPr>
      <w:r>
        <w:t xml:space="preserve">The successful ingestion and platform deployment of the 2.15 GB AFAD data package conclusively eliminates the primary technical bottleneck of the project—external data accessibility and validation.</w:t>
        <w:rPr>
          <w:rFonts w:ascii="Times New Roman" w:hAnsi="Times New Roman" w:eastAsia="Times New Roman" w:cs="Times New Roman"/>
          <w:color w:val="000000"/>
          <w:sz w:val="23"/>
          <w:szCs w:val="23"/>
        </w:rPr>
      </w:r>
    </w:p>
    <w:p>
      <w:pPr>
        <w:pStyle w:val="BodyText"/>
        <w:spacing w:before="0" w:after="100" w:line="360" w:lineRule="auto"/>
        <w:jc w:val="both"/>
      </w:pPr>
      <w:r>
        <w:rPr>
          <w:b/>
          <w:bCs/>
          <w:rFonts w:ascii="Times New Roman" w:hAnsi="Times New Roman" w:eastAsia="Times New Roman" w:cs="Times New Roman"/>
          <w:color w:val="000000"/>
          <w:sz w:val="23"/>
          <w:szCs w:val="23"/>
        </w:rPr>
        <w:t xml:space="preserve">Immediate Next Steps:</w:t>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October 2026:</w:t>
      </w:r>
      <w:r>
        <w:t xml:space="preserve"> </w:t>
        <w:rPr>
          <w:rFonts w:ascii="Times New Roman" w:hAnsi="Times New Roman" w:eastAsia="Times New Roman" w:cs="Times New Roman"/>
          <w:color w:val="000000"/>
          <w:sz w:val="23"/>
          <w:szCs w:val="23"/>
        </w:rPr>
      </w:r>
      <w:r>
        <w:t xml:space="preserve">Finalize distribution of processed sub-packages to thematic investigators; conduct weekly technical coordination meetings via When2Meet scheduling.</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Late October 2026:</w:t>
      </w:r>
      <w:r>
        <w:t xml:space="preserve"> </w:t>
        <w:rPr>
          <w:rFonts w:ascii="Times New Roman" w:hAnsi="Times New Roman" w:eastAsia="Times New Roman" w:cs="Times New Roman"/>
          <w:color w:val="000000"/>
          <w:sz w:val="23"/>
          <w:szCs w:val="23"/>
        </w:rPr>
      </w:r>
      <w:r>
        <w:t xml:space="preserve">Convene the Extended Project Progress Workshop involving Technical, Communication (RCCE), and Psychosocial working groups.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November 2026:</w:t>
      </w:r>
      <w:r>
        <w:t xml:space="preserve"> </w:t>
        <w:rPr>
          <w:rFonts w:ascii="Times New Roman" w:hAnsi="Times New Roman" w:eastAsia="Times New Roman" w:cs="Times New Roman"/>
          <w:color w:val="000000"/>
          <w:sz w:val="23"/>
          <w:szCs w:val="23"/>
        </w:rPr>
      </w:r>
      <w:r>
        <w:t xml:space="preserve">Complete Tier-B engineering structural vulnerability models for priority districts (Bayraklı, Bornova, Konak) and economic CBA modeling.</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December 2026:</w:t>
      </w:r>
      <w:r>
        <w:t xml:space="preserve"> </w:t>
        <w:rPr>
          <w:rFonts w:ascii="Times New Roman" w:hAnsi="Times New Roman" w:eastAsia="Times New Roman" w:cs="Times New Roman"/>
          <w:color w:val="000000"/>
          <w:sz w:val="23"/>
          <w:szCs w:val="23"/>
        </w:rPr>
      </w:r>
      <w:r>
        <w:t xml:space="preserve">Finalize the complete English and Turkish D1 Final Assessment Deliverables and Executive Presentations for submission to the World Bank and AFAD by December 31, 2026.</w:t>
        <w:rPr>
          <w:rFonts w:ascii="Times New Roman" w:hAnsi="Times New Roman" w:eastAsia="Times New Roman" w:cs="Times New Roman"/>
          <w:color w:val="000000"/>
          <w:sz w:val="23"/>
          <w:szCs w:val="23"/>
        </w:rPr>
      </w:r>
    </w:p>
    <w:bookmarkEnd w:id="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imes New Roman" w:hAnsi="Times New Roman" w:eastAsia="Times New Roman" w:cs="Times New Roman"/>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ascii="Times New Roman" w:hAnsi="Times New Roman" w:eastAsia="Times New Roman" w:cs="Times New Roman"/>
      <w:spacing w:val="15"/>
      <w:sz w:val="28"/>
      <w:szCs w:val="28"/>
      <w:color w:val="00000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imes New Roman" w:hAnsi="Times New Roman" w:eastAsia="Times New Roman" w:cs="Times New Roman"/>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imes New Roman" w:hAnsi="Times New Roman" w:eastAsia="Times New Roman" w:cs="Times New Roman"/>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Times New Roman" w:hAnsi="Times New Roman" w:eastAsia="Times New Roman" w:cs="Times New Roman"/>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Times New Roman" w:hAnsi="Times New Roman" w:eastAsia="Times New Roman" w:cs="Times New Roman"/>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color w:val="000000"/>
      <w:rFonts w:ascii="Times New Roman" w:hAnsi="Times New Roman" w:eastAsia="Times New Roman" w:cs="Times New Roman"/>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2026-10-01T19:41:33Z</dcterms:created>
  <dcterms:modified xsi:type="dcterms:W3CDTF">2026-10-01T19:41:33Z</dcterms:modified>
</cp:coreProperties>
</file>

<file path=docProps/custom.xml><?xml version="1.0" encoding="utf-8"?>
<Properties xmlns="http://schemas.openxmlformats.org/officeDocument/2006/custom-properties" xmlns:vt="http://schemas.openxmlformats.org/officeDocument/2006/docPropsVTypes"/>
</file>